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36" w:rsidRPr="00E27A21" w:rsidRDefault="00F45136" w:rsidP="00F45136">
      <w:pPr>
        <w:pStyle w:val="Heading1"/>
        <w:spacing w:after="0" w:line="320" w:lineRule="exact"/>
        <w:rPr>
          <w:sz w:val="28"/>
          <w:szCs w:val="28"/>
          <w:rtl/>
        </w:rPr>
      </w:pPr>
      <w:bookmarkStart w:id="0" w:name="_Toc300392242"/>
      <w:r w:rsidRPr="00E27A21">
        <w:rPr>
          <w:sz w:val="28"/>
          <w:szCs w:val="28"/>
          <w:rtl/>
        </w:rPr>
        <w:t>قائمة</w:t>
      </w:r>
      <w:r w:rsidRPr="00E27A21">
        <w:rPr>
          <w:sz w:val="28"/>
          <w:szCs w:val="28"/>
        </w:rPr>
        <w:t xml:space="preserve"> </w:t>
      </w:r>
      <w:r w:rsidRPr="00E27A21">
        <w:rPr>
          <w:sz w:val="28"/>
          <w:szCs w:val="28"/>
          <w:rtl/>
        </w:rPr>
        <w:t>أهم المراجع</w:t>
      </w:r>
      <w:bookmarkEnd w:id="0"/>
    </w:p>
    <w:p w:rsidR="00F45136" w:rsidRPr="00E27A21" w:rsidRDefault="00F45136" w:rsidP="00F45136">
      <w:pPr>
        <w:numPr>
          <w:ilvl w:val="0"/>
          <w:numId w:val="4"/>
        </w:numPr>
        <w:spacing w:line="320" w:lineRule="exact"/>
        <w:rPr>
          <w:rFonts w:cs="Arabic Transparent"/>
          <w:b/>
          <w:bCs/>
          <w:color w:val="000000"/>
          <w:sz w:val="28"/>
          <w:szCs w:val="28"/>
          <w:lang w:bidi="ar-TN"/>
        </w:rPr>
      </w:pPr>
      <w:r w:rsidRPr="00E27A21">
        <w:rPr>
          <w:rFonts w:cs="Arabic Transparent"/>
          <w:b/>
          <w:bCs/>
          <w:color w:val="000000"/>
          <w:sz w:val="28"/>
          <w:szCs w:val="28"/>
          <w:rtl/>
          <w:lang w:bidi="ar-TN"/>
        </w:rPr>
        <w:t>الكتب</w:t>
      </w:r>
      <w:r>
        <w:rPr>
          <w:rFonts w:cs="Arabic Transparent" w:hint="cs"/>
          <w:b/>
          <w:bCs/>
          <w:color w:val="000000"/>
          <w:sz w:val="28"/>
          <w:szCs w:val="28"/>
          <w:rtl/>
          <w:lang w:bidi="ar-TN"/>
        </w:rPr>
        <w:t>:</w:t>
      </w:r>
    </w:p>
    <w:p w:rsidR="00F45136" w:rsidRPr="005F713B" w:rsidRDefault="00F45136" w:rsidP="00F45136">
      <w:pPr>
        <w:numPr>
          <w:ilvl w:val="0"/>
          <w:numId w:val="1"/>
        </w:numPr>
        <w:spacing w:line="320" w:lineRule="exact"/>
        <w:rPr>
          <w:rFonts w:cs="Arabic Transparent"/>
          <w:color w:val="000000"/>
          <w:sz w:val="24"/>
          <w:lang w:bidi="ar-TN"/>
        </w:rPr>
      </w:pPr>
      <w:r w:rsidRPr="005F713B">
        <w:rPr>
          <w:rFonts w:cs="Arabic Transparent"/>
          <w:color w:val="000000"/>
          <w:sz w:val="24"/>
          <w:rtl/>
          <w:lang w:bidi="ar-TN"/>
        </w:rPr>
        <w:t>دريد محمود السامرائي: الاستثمار الأجنبي، المعوقات والضمانات القانونية</w:t>
      </w:r>
      <w:r w:rsidRPr="005F713B">
        <w:rPr>
          <w:rFonts w:cs="Arabic Transparent" w:hint="cs"/>
          <w:color w:val="000000"/>
          <w:sz w:val="24"/>
          <w:rtl/>
          <w:lang w:bidi="ar-TN"/>
        </w:rPr>
        <w:t>،</w:t>
      </w:r>
      <w:r w:rsidRPr="005F713B">
        <w:rPr>
          <w:rFonts w:cs="Arabic Transparent"/>
          <w:color w:val="000000"/>
          <w:sz w:val="24"/>
          <w:rtl/>
          <w:lang w:bidi="ar-TN"/>
        </w:rPr>
        <w:t xml:space="preserve"> مركز دراسات الوحدة العربية، بيروت 2006</w:t>
      </w:r>
      <w:r>
        <w:rPr>
          <w:rFonts w:cs="Arabic Transparent" w:hint="cs"/>
          <w:color w:val="000000"/>
          <w:sz w:val="24"/>
          <w:rtl/>
          <w:lang w:bidi="ar-TN"/>
        </w:rPr>
        <w:t>.</w:t>
      </w:r>
    </w:p>
    <w:p w:rsidR="00F45136" w:rsidRPr="005F713B" w:rsidRDefault="00F45136" w:rsidP="00F45136">
      <w:pPr>
        <w:numPr>
          <w:ilvl w:val="0"/>
          <w:numId w:val="1"/>
        </w:numPr>
        <w:spacing w:line="320" w:lineRule="exact"/>
        <w:rPr>
          <w:rFonts w:cs="Arabic Transparent"/>
          <w:color w:val="000000"/>
          <w:sz w:val="24"/>
          <w:lang w:bidi="ar-TN"/>
        </w:rPr>
      </w:pPr>
      <w:r w:rsidRPr="005F713B">
        <w:rPr>
          <w:rFonts w:cs="Arabic Transparent"/>
          <w:color w:val="000000"/>
          <w:sz w:val="24"/>
          <w:rtl/>
          <w:lang w:bidi="ar-TN"/>
        </w:rPr>
        <w:t>بشار محمد الاسعد، عقود الاستثمار في العلاقات الدولية الخاصة منشورات الحلبي الحقوقية، بيروت 2006</w:t>
      </w:r>
    </w:p>
    <w:p w:rsidR="00F45136" w:rsidRPr="005F713B" w:rsidRDefault="00F45136" w:rsidP="00F45136">
      <w:pPr>
        <w:numPr>
          <w:ilvl w:val="0"/>
          <w:numId w:val="1"/>
        </w:numPr>
        <w:spacing w:line="320" w:lineRule="exact"/>
        <w:rPr>
          <w:rFonts w:cs="Arabic Transparent"/>
          <w:color w:val="000000"/>
          <w:sz w:val="24"/>
          <w:lang w:bidi="ar-TN"/>
        </w:rPr>
      </w:pPr>
      <w:r w:rsidRPr="005F713B">
        <w:rPr>
          <w:rFonts w:cs="Arabic Transparent"/>
          <w:color w:val="000000"/>
          <w:sz w:val="24"/>
          <w:rtl/>
          <w:lang w:bidi="ar-TN"/>
        </w:rPr>
        <w:t>عبد القادر القادري، القانون الدولي العام، مكتبة المعارف،</w:t>
      </w:r>
      <w:r w:rsidRPr="005F713B">
        <w:rPr>
          <w:rFonts w:cs="Arabic Transparent" w:hint="cs"/>
          <w:color w:val="000000"/>
          <w:sz w:val="24"/>
          <w:rtl/>
          <w:lang w:bidi="ar-TN"/>
        </w:rPr>
        <w:t xml:space="preserve"> </w:t>
      </w:r>
      <w:r w:rsidRPr="005F713B">
        <w:rPr>
          <w:rFonts w:cs="Arabic Transparent"/>
          <w:color w:val="000000"/>
          <w:sz w:val="24"/>
          <w:rtl/>
          <w:lang w:bidi="ar-TN"/>
        </w:rPr>
        <w:t>الرباط 1984</w:t>
      </w:r>
      <w:r>
        <w:rPr>
          <w:rFonts w:cs="Arabic Transparent" w:hint="cs"/>
          <w:color w:val="000000"/>
          <w:sz w:val="24"/>
          <w:rtl/>
          <w:lang w:bidi="ar-TN"/>
        </w:rPr>
        <w:t>.</w:t>
      </w:r>
    </w:p>
    <w:p w:rsidR="00F45136" w:rsidRPr="005F713B" w:rsidRDefault="00F45136" w:rsidP="00F45136">
      <w:pPr>
        <w:numPr>
          <w:ilvl w:val="0"/>
          <w:numId w:val="4"/>
        </w:numPr>
        <w:spacing w:line="320" w:lineRule="exact"/>
        <w:rPr>
          <w:rFonts w:cs="Arabic Transparent"/>
          <w:b/>
          <w:bCs/>
          <w:color w:val="000000"/>
          <w:sz w:val="24"/>
          <w:rtl/>
          <w:lang w:bidi="ar-TN"/>
        </w:rPr>
      </w:pPr>
      <w:r w:rsidRPr="005F713B">
        <w:rPr>
          <w:rFonts w:cs="Arabic Transparent"/>
          <w:b/>
          <w:bCs/>
          <w:color w:val="000000"/>
          <w:sz w:val="24"/>
          <w:rtl/>
          <w:lang w:bidi="ar-TN"/>
        </w:rPr>
        <w:t>التقارير</w:t>
      </w:r>
      <w:r>
        <w:rPr>
          <w:rFonts w:cs="Arabic Transparent" w:hint="cs"/>
          <w:b/>
          <w:bCs/>
          <w:color w:val="000000"/>
          <w:sz w:val="24"/>
          <w:rtl/>
          <w:lang w:bidi="ar-TN"/>
        </w:rPr>
        <w:t>:</w:t>
      </w:r>
    </w:p>
    <w:p w:rsidR="00F45136" w:rsidRPr="005F713B" w:rsidRDefault="00F45136" w:rsidP="00F45136">
      <w:pPr>
        <w:pStyle w:val="FootnoteText"/>
        <w:numPr>
          <w:ilvl w:val="0"/>
          <w:numId w:val="1"/>
        </w:numPr>
        <w:spacing w:line="320" w:lineRule="exact"/>
        <w:rPr>
          <w:rFonts w:cs="Arabic Transparent"/>
          <w:color w:val="000000"/>
          <w:sz w:val="24"/>
        </w:rPr>
      </w:pPr>
      <w:r w:rsidRPr="005F713B">
        <w:rPr>
          <w:rFonts w:cs="Arabic Transparent"/>
          <w:color w:val="000000"/>
          <w:sz w:val="24"/>
          <w:rtl/>
          <w:lang w:bidi="ar-TN"/>
        </w:rPr>
        <w:t>ا</w:t>
      </w:r>
      <w:r w:rsidRPr="005F713B">
        <w:rPr>
          <w:rFonts w:cs="Arabic Transparent" w:hint="cs"/>
          <w:color w:val="000000"/>
          <w:sz w:val="24"/>
          <w:rtl/>
          <w:lang w:bidi="ar-TN"/>
        </w:rPr>
        <w:t>لأو</w:t>
      </w:r>
      <w:r w:rsidRPr="005F713B">
        <w:rPr>
          <w:rFonts w:cs="Arabic Transparent"/>
          <w:color w:val="000000"/>
          <w:sz w:val="24"/>
          <w:rtl/>
          <w:lang w:bidi="ar-TN"/>
        </w:rPr>
        <w:t>نكتاد:</w:t>
      </w:r>
      <w:r w:rsidRPr="005F713B">
        <w:rPr>
          <w:rFonts w:cs="Arabic Transparent"/>
          <w:color w:val="000000"/>
          <w:sz w:val="24"/>
          <w:rtl/>
        </w:rPr>
        <w:t xml:space="preserve"> وضع قواعد الاستثمار الدولي:</w:t>
      </w:r>
      <w:r w:rsidRPr="005F713B">
        <w:rPr>
          <w:rFonts w:cs="Arabic Transparent" w:hint="cs"/>
          <w:color w:val="000000"/>
          <w:sz w:val="24"/>
          <w:rtl/>
        </w:rPr>
        <w:t xml:space="preserve"> </w:t>
      </w:r>
      <w:r w:rsidRPr="005F713B">
        <w:rPr>
          <w:rFonts w:cs="Arabic Transparent"/>
          <w:color w:val="000000"/>
          <w:sz w:val="24"/>
          <w:rtl/>
        </w:rPr>
        <w:t xml:space="preserve">حصر المنجزات والتحديات القائمة والطريق إلى الأمام، سلسلة </w:t>
      </w:r>
      <w:r w:rsidRPr="005F713B">
        <w:rPr>
          <w:rFonts w:cs="Arabic Transparent" w:hint="cs"/>
          <w:color w:val="000000"/>
          <w:sz w:val="24"/>
          <w:rtl/>
        </w:rPr>
        <w:t>الأونكتاد</w:t>
      </w:r>
      <w:r w:rsidRPr="005F713B">
        <w:rPr>
          <w:rFonts w:cs="Arabic Transparent"/>
          <w:color w:val="000000"/>
          <w:sz w:val="24"/>
          <w:rtl/>
        </w:rPr>
        <w:t xml:space="preserve"> بشأن سياسات الاستثمار الدولية لأغراض التمنية، الأمم المتحدة 2008</w:t>
      </w:r>
      <w:r>
        <w:rPr>
          <w:rFonts w:cs="Arabic Transparent" w:hint="cs"/>
          <w:color w:val="000000"/>
          <w:sz w:val="24"/>
          <w:rtl/>
        </w:rPr>
        <w:t>.</w:t>
      </w:r>
    </w:p>
    <w:p w:rsidR="00F45136" w:rsidRPr="005F713B" w:rsidRDefault="00F45136" w:rsidP="00F45136">
      <w:pPr>
        <w:pStyle w:val="FootnoteText"/>
        <w:numPr>
          <w:ilvl w:val="0"/>
          <w:numId w:val="1"/>
        </w:numPr>
        <w:spacing w:line="320" w:lineRule="exact"/>
        <w:rPr>
          <w:rFonts w:cs="Arabic Transparent"/>
          <w:color w:val="000000"/>
          <w:sz w:val="24"/>
        </w:rPr>
      </w:pPr>
      <w:r w:rsidRPr="005F713B">
        <w:rPr>
          <w:rFonts w:cs="Arabic Transparent"/>
          <w:color w:val="000000"/>
          <w:sz w:val="24"/>
          <w:rtl/>
          <w:lang w:bidi="ar-TN"/>
        </w:rPr>
        <w:t>سلسلة منشورات ا</w:t>
      </w:r>
      <w:r w:rsidRPr="005F713B">
        <w:rPr>
          <w:rFonts w:cs="Arabic Transparent" w:hint="cs"/>
          <w:color w:val="000000"/>
          <w:sz w:val="24"/>
          <w:rtl/>
          <w:lang w:bidi="ar-TN"/>
        </w:rPr>
        <w:t>لأو</w:t>
      </w:r>
      <w:r w:rsidRPr="005F713B">
        <w:rPr>
          <w:rFonts w:cs="Arabic Transparent"/>
          <w:color w:val="000000"/>
          <w:sz w:val="24"/>
          <w:rtl/>
          <w:lang w:bidi="ar-TN"/>
        </w:rPr>
        <w:t>نكتاد حول القضايا التي تتناولها اتفاقات الاستثمار الدولية</w:t>
      </w:r>
      <w:r>
        <w:rPr>
          <w:rFonts w:cs="Arabic Transparent" w:hint="cs"/>
          <w:color w:val="000000"/>
          <w:sz w:val="24"/>
          <w:rtl/>
          <w:lang w:bidi="ar-TN"/>
        </w:rPr>
        <w:t>.</w:t>
      </w:r>
    </w:p>
    <w:p w:rsidR="00F45136" w:rsidRPr="005F713B" w:rsidRDefault="00F45136" w:rsidP="00F45136">
      <w:pPr>
        <w:numPr>
          <w:ilvl w:val="0"/>
          <w:numId w:val="9"/>
        </w:numPr>
        <w:bidi w:val="0"/>
        <w:spacing w:line="320" w:lineRule="exact"/>
        <w:jc w:val="both"/>
        <w:rPr>
          <w:rFonts w:cs="Arabic Transparent"/>
          <w:b/>
          <w:bCs/>
          <w:color w:val="000000"/>
          <w:sz w:val="22"/>
          <w:szCs w:val="22"/>
          <w:lang w:bidi="ar-TN"/>
        </w:rPr>
      </w:pPr>
      <w:r w:rsidRPr="005F713B">
        <w:rPr>
          <w:rFonts w:cs="Arabic Transparent"/>
          <w:b/>
          <w:bCs/>
          <w:color w:val="000000"/>
          <w:sz w:val="22"/>
          <w:szCs w:val="22"/>
          <w:lang w:bidi="ar-TN"/>
        </w:rPr>
        <w:t>Books</w:t>
      </w:r>
    </w:p>
    <w:p w:rsidR="00F45136" w:rsidRPr="005F713B" w:rsidRDefault="00F45136" w:rsidP="00F45136">
      <w:pPr>
        <w:pStyle w:val="FootnoteText"/>
        <w:numPr>
          <w:ilvl w:val="0"/>
          <w:numId w:val="5"/>
        </w:numPr>
        <w:tabs>
          <w:tab w:val="left" w:pos="0"/>
        </w:tabs>
        <w:bidi w:val="0"/>
        <w:spacing w:line="320" w:lineRule="exact"/>
        <w:ind w:left="0" w:firstLine="284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 xml:space="preserve">Amadio.(M): «Le contentieux international de l’investissement privé et la convention de la banque mondiale du 18 mars </w:t>
      </w:r>
      <w:smartTag w:uri="urn:schemas-microsoft-com:office:smarttags" w:element="metricconverter">
        <w:smartTagPr>
          <w:attr w:name="ProductID" w:val="1965, L"/>
        </w:smartTagPr>
        <w:r w:rsidRPr="005F713B">
          <w:rPr>
            <w:rFonts w:cs="Arabic Transparent"/>
            <w:color w:val="000000"/>
            <w:sz w:val="22"/>
            <w:szCs w:val="22"/>
          </w:rPr>
          <w:t>1965, L</w:t>
        </w:r>
      </w:smartTag>
      <w:r w:rsidRPr="005F713B">
        <w:rPr>
          <w:rFonts w:cs="Arabic Transparent"/>
          <w:color w:val="000000"/>
          <w:sz w:val="22"/>
          <w:szCs w:val="22"/>
        </w:rPr>
        <w:t>.G.D.J, Paris, 1967.</w:t>
      </w:r>
    </w:p>
    <w:p w:rsidR="00F45136" w:rsidRPr="005F713B" w:rsidRDefault="00F45136" w:rsidP="00F45136">
      <w:pPr>
        <w:numPr>
          <w:ilvl w:val="3"/>
          <w:numId w:val="5"/>
        </w:numPr>
        <w:tabs>
          <w:tab w:val="left" w:pos="0"/>
        </w:tabs>
        <w:bidi w:val="0"/>
        <w:spacing w:line="320" w:lineRule="exact"/>
        <w:ind w:left="0" w:firstLine="284"/>
        <w:jc w:val="both"/>
        <w:rPr>
          <w:rFonts w:cs="Arabic Transparent"/>
          <w:color w:val="000000"/>
          <w:sz w:val="22"/>
          <w:szCs w:val="22"/>
          <w:u w:val="single"/>
        </w:rPr>
      </w:pPr>
      <w:r w:rsidRPr="005F713B">
        <w:rPr>
          <w:rFonts w:cs="Arabic Transparent"/>
          <w:color w:val="000000"/>
          <w:sz w:val="22"/>
          <w:szCs w:val="22"/>
        </w:rPr>
        <w:t>Carreau.(D), Juillard.(P): « Droit international économique », Dalloz, 1</w:t>
      </w:r>
      <w:r w:rsidRPr="005F713B">
        <w:rPr>
          <w:rFonts w:cs="Arabic Transparent"/>
          <w:color w:val="000000"/>
          <w:sz w:val="22"/>
          <w:szCs w:val="22"/>
          <w:vertAlign w:val="superscript"/>
        </w:rPr>
        <w:t>ère</w:t>
      </w:r>
      <w:r w:rsidRPr="005F713B">
        <w:rPr>
          <w:rFonts w:cs="Arabic Transparent"/>
          <w:color w:val="000000"/>
          <w:sz w:val="22"/>
          <w:szCs w:val="22"/>
        </w:rPr>
        <w:t xml:space="preserve"> édition, 2003</w:t>
      </w:r>
    </w:p>
    <w:p w:rsidR="00F45136" w:rsidRPr="005F713B" w:rsidRDefault="00F45136" w:rsidP="00F45136">
      <w:pPr>
        <w:pStyle w:val="ListParagraph"/>
        <w:numPr>
          <w:ilvl w:val="0"/>
          <w:numId w:val="5"/>
        </w:numPr>
        <w:tabs>
          <w:tab w:val="left" w:pos="0"/>
        </w:tabs>
        <w:spacing w:line="320" w:lineRule="exact"/>
        <w:ind w:left="0" w:firstLine="284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  <w:lang w:bidi="ar-TN"/>
        </w:rPr>
        <w:t>Gaillard, (Emmanuel ) La jurisprudence du CIRDI, A. Pedone, Volume 1 Paris, 2004 , Volume 2 Paris 2009</w:t>
      </w:r>
    </w:p>
    <w:p w:rsidR="00F45136" w:rsidRPr="005F713B" w:rsidRDefault="00F45136" w:rsidP="00F45136">
      <w:pPr>
        <w:numPr>
          <w:ilvl w:val="0"/>
          <w:numId w:val="2"/>
        </w:numPr>
        <w:tabs>
          <w:tab w:val="clear" w:pos="1360"/>
          <w:tab w:val="left" w:pos="0"/>
          <w:tab w:val="num" w:pos="567"/>
        </w:tabs>
        <w:bidi w:val="0"/>
        <w:spacing w:line="320" w:lineRule="exact"/>
        <w:ind w:left="0" w:right="-102" w:firstLine="284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HORCHANI (Ferhat) « L'investissement inter – arabe, Contribution des conventions inter- rabes à la formation d’un droit international régional sur l’investissement », Editions du Centre d'Etudes de Recherches et de Publications (C.E.R.P.) Tunis, 1992.</w:t>
      </w:r>
    </w:p>
    <w:p w:rsidR="00F45136" w:rsidRPr="005F713B" w:rsidRDefault="00F45136" w:rsidP="00F45136">
      <w:pPr>
        <w:numPr>
          <w:ilvl w:val="0"/>
          <w:numId w:val="2"/>
        </w:numPr>
        <w:tabs>
          <w:tab w:val="clear" w:pos="1360"/>
          <w:tab w:val="left" w:pos="0"/>
        </w:tabs>
        <w:bidi w:val="0"/>
        <w:spacing w:line="320" w:lineRule="exact"/>
        <w:ind w:left="0" w:right="-102" w:firstLine="284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HORCHANI (Ferhat) (Sous la direction) Où va le droit de l’investissement ? Désordre normatif et recherche d’équilibre. Ferhat Horchani) Editions A.</w:t>
      </w:r>
      <w:r w:rsidRPr="005F713B">
        <w:rPr>
          <w:rFonts w:cs="Arabic Transparent"/>
          <w:color w:val="000000"/>
          <w:sz w:val="22"/>
          <w:szCs w:val="22"/>
          <w:rtl/>
        </w:rPr>
        <w:t xml:space="preserve"> </w:t>
      </w:r>
      <w:r w:rsidRPr="005F713B">
        <w:rPr>
          <w:rFonts w:cs="Arabic Transparent"/>
          <w:color w:val="000000"/>
          <w:sz w:val="22"/>
          <w:szCs w:val="22"/>
        </w:rPr>
        <w:t>Pedone, Paris 2006</w:t>
      </w:r>
    </w:p>
    <w:p w:rsidR="00F45136" w:rsidRPr="005F713B" w:rsidRDefault="00F45136" w:rsidP="00F45136">
      <w:pPr>
        <w:numPr>
          <w:ilvl w:val="0"/>
          <w:numId w:val="2"/>
        </w:numPr>
        <w:tabs>
          <w:tab w:val="clear" w:pos="1360"/>
          <w:tab w:val="left" w:pos="0"/>
        </w:tabs>
        <w:bidi w:val="0"/>
        <w:spacing w:line="320" w:lineRule="exact"/>
        <w:ind w:left="0" w:right="-102" w:firstLine="284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HORCHANI (Ferhat) Les sources du droit international, LGDJ, DELTA , CPU, Tunis ,2008</w:t>
      </w:r>
    </w:p>
    <w:p w:rsidR="00F45136" w:rsidRPr="005F713B" w:rsidRDefault="00F45136" w:rsidP="00F45136">
      <w:pPr>
        <w:pStyle w:val="ListParagraph"/>
        <w:numPr>
          <w:ilvl w:val="0"/>
          <w:numId w:val="2"/>
        </w:numPr>
        <w:tabs>
          <w:tab w:val="clear" w:pos="1360"/>
          <w:tab w:val="left" w:pos="0"/>
        </w:tabs>
        <w:spacing w:line="320" w:lineRule="exact"/>
        <w:ind w:left="0" w:firstLine="284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  <w:lang w:bidi="ar-TN"/>
        </w:rPr>
        <w:t>LAVIEC (J.P), Protection et promotion des investissements, étude de droit international économique, édition Publication de l’Institut universitaire de Hautes études internationales, Genève et PUF, Genève, 1985.</w:t>
      </w:r>
    </w:p>
    <w:p w:rsidR="00F45136" w:rsidRPr="005F713B" w:rsidRDefault="00A23055" w:rsidP="00F45136">
      <w:pPr>
        <w:pStyle w:val="ListParagraph"/>
        <w:numPr>
          <w:ilvl w:val="0"/>
          <w:numId w:val="2"/>
        </w:numPr>
        <w:tabs>
          <w:tab w:val="clear" w:pos="1360"/>
          <w:tab w:val="left" w:pos="0"/>
        </w:tabs>
        <w:spacing w:line="320" w:lineRule="exact"/>
        <w:ind w:left="0" w:firstLine="284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hyperlink r:id="rId7" w:history="1">
        <w:r w:rsidR="00F45136" w:rsidRPr="005F713B">
          <w:rPr>
            <w:rFonts w:cs="Arabic Transparent"/>
            <w:color w:val="000000"/>
            <w:sz w:val="22"/>
            <w:szCs w:val="22"/>
          </w:rPr>
          <w:t>MANCIAUX</w:t>
        </w:r>
      </w:hyperlink>
      <w:r w:rsidR="00F45136" w:rsidRPr="005F713B">
        <w:rPr>
          <w:rFonts w:cs="Arabic Transparent"/>
          <w:color w:val="000000"/>
          <w:sz w:val="22"/>
          <w:szCs w:val="22"/>
        </w:rPr>
        <w:t xml:space="preserve"> S, </w:t>
      </w:r>
      <w:hyperlink r:id="rId8" w:history="1">
        <w:r w:rsidR="00F45136" w:rsidRPr="005F713B">
          <w:rPr>
            <w:rFonts w:cs="Arabic Transparent"/>
            <w:i/>
            <w:color w:val="000000"/>
            <w:sz w:val="22"/>
            <w:szCs w:val="22"/>
          </w:rPr>
          <w:t>Investissements étrangers et arbitrage entre Etats et ressortissants d'autres Etats</w:t>
        </w:r>
      </w:hyperlink>
      <w:r w:rsidR="00F45136" w:rsidRPr="005F713B">
        <w:rPr>
          <w:rFonts w:cs="Arabic Transparent"/>
          <w:i/>
          <w:color w:val="000000"/>
          <w:sz w:val="22"/>
          <w:szCs w:val="22"/>
        </w:rPr>
        <w:t xml:space="preserve"> Trente années d'activité du Cirdi,</w:t>
      </w:r>
      <w:r w:rsidR="00F45136" w:rsidRPr="005F713B">
        <w:rPr>
          <w:rFonts w:cs="Arabic Transparent"/>
          <w:color w:val="000000"/>
          <w:sz w:val="22"/>
          <w:szCs w:val="22"/>
        </w:rPr>
        <w:t xml:space="preserve"> Volume n° 24 Parution: 01/2005 Litec - Editions du JurisClasseur - Travaux du Centre de recherche sur le droit des marchés et des investissements internationaux, Dijon.</w:t>
      </w:r>
    </w:p>
    <w:p w:rsidR="00F45136" w:rsidRPr="005F713B" w:rsidRDefault="00F45136" w:rsidP="00F45136">
      <w:pPr>
        <w:pStyle w:val="FootnoteText"/>
        <w:numPr>
          <w:ilvl w:val="0"/>
          <w:numId w:val="2"/>
        </w:numPr>
        <w:tabs>
          <w:tab w:val="clear" w:pos="1360"/>
          <w:tab w:val="left" w:pos="0"/>
        </w:tabs>
        <w:bidi w:val="0"/>
        <w:spacing w:line="320" w:lineRule="exact"/>
        <w:ind w:left="0" w:firstLine="284"/>
        <w:jc w:val="both"/>
        <w:rPr>
          <w:rFonts w:cs="Arabic Transparent"/>
          <w:color w:val="000000"/>
          <w:sz w:val="22"/>
          <w:szCs w:val="22"/>
          <w:lang w:val="en-GB"/>
        </w:rPr>
      </w:pPr>
      <w:r w:rsidRPr="005F713B">
        <w:rPr>
          <w:rFonts w:cs="Arabic Transparent"/>
          <w:color w:val="000000"/>
          <w:sz w:val="22"/>
          <w:szCs w:val="22"/>
          <w:lang w:val="en-GB"/>
        </w:rPr>
        <w:t>Schreuer.(C): « The ICSID Convention: A commentary », Cambridge University Press, 2001.</w:t>
      </w:r>
    </w:p>
    <w:p w:rsidR="00F45136" w:rsidRDefault="00F45136" w:rsidP="00F45136">
      <w:pPr>
        <w:pStyle w:val="ListParagraph"/>
        <w:numPr>
          <w:ilvl w:val="0"/>
          <w:numId w:val="2"/>
        </w:numPr>
        <w:tabs>
          <w:tab w:val="clear" w:pos="1360"/>
          <w:tab w:val="left" w:pos="0"/>
        </w:tabs>
        <w:spacing w:after="120" w:line="320" w:lineRule="exact"/>
        <w:ind w:left="0" w:firstLine="284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>Walde.(Th): « Nouveaux horizons pour le droit international des investissements dans le contexte de la mondialisation de l’économie », Cours I.H.E.I, édition A.Pedone, Paris, 2004.</w:t>
      </w:r>
    </w:p>
    <w:p w:rsidR="00F45136" w:rsidRPr="005F713B" w:rsidRDefault="00F45136" w:rsidP="00F45136">
      <w:pPr>
        <w:numPr>
          <w:ilvl w:val="0"/>
          <w:numId w:val="9"/>
        </w:numPr>
        <w:bidi w:val="0"/>
        <w:spacing w:line="320" w:lineRule="exact"/>
        <w:ind w:right="-102"/>
        <w:jc w:val="both"/>
        <w:rPr>
          <w:rStyle w:val="shorttext"/>
          <w:rFonts w:cs="Arabic Transparent"/>
          <w:color w:val="000000"/>
          <w:sz w:val="22"/>
          <w:szCs w:val="22"/>
          <w:shd w:val="clear" w:color="auto" w:fill="FFFFFF"/>
        </w:rPr>
      </w:pPr>
      <w:r w:rsidRPr="005F713B">
        <w:rPr>
          <w:rFonts w:cs="Arabic Transparent"/>
          <w:b/>
          <w:bCs/>
          <w:color w:val="000000"/>
          <w:sz w:val="22"/>
          <w:szCs w:val="22"/>
        </w:rPr>
        <w:t>Articles, chroniques et cours (</w:t>
      </w:r>
      <w:r w:rsidRPr="005F713B">
        <w:rPr>
          <w:rStyle w:val="shorttext"/>
          <w:rFonts w:cs="Arabic Transparent"/>
          <w:color w:val="000000"/>
          <w:sz w:val="22"/>
          <w:szCs w:val="22"/>
          <w:shd w:val="clear" w:color="auto" w:fill="FFFFFF"/>
        </w:rPr>
        <w:t>articles, columns and courses)</w:t>
      </w:r>
    </w:p>
    <w:p w:rsidR="00F45136" w:rsidRPr="005F713B" w:rsidRDefault="00F45136" w:rsidP="00F45136">
      <w:pPr>
        <w:pStyle w:val="ListParagraph"/>
        <w:numPr>
          <w:ilvl w:val="0"/>
          <w:numId w:val="8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>Ben Hamida. (W): « L’arbitrage Etat-investisseur étranger: Regards sur les traités et projets récents », J.D.I, n° 2, 2004, pp. 419- 441</w:t>
      </w:r>
    </w:p>
    <w:p w:rsidR="00F45136" w:rsidRPr="005F713B" w:rsidRDefault="00F45136" w:rsidP="00F45136">
      <w:pPr>
        <w:pStyle w:val="ListParagraph"/>
        <w:numPr>
          <w:ilvl w:val="0"/>
          <w:numId w:val="8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 xml:space="preserve">Ben Hamida. (W) « Clause de la Nation la Plus Favorisée et mécanismes de règlement des différends: Que dit l’histoire ? », </w:t>
      </w:r>
      <w:r w:rsidRPr="005F713B">
        <w:rPr>
          <w:rFonts w:cs="Arabic Transparent"/>
          <w:i/>
          <w:color w:val="000000"/>
          <w:sz w:val="22"/>
          <w:szCs w:val="22"/>
        </w:rPr>
        <w:t>Journal du droit international</w:t>
      </w:r>
      <w:r w:rsidRPr="005F713B">
        <w:rPr>
          <w:rFonts w:cs="Arabic Transparent"/>
          <w:color w:val="000000"/>
          <w:sz w:val="22"/>
          <w:szCs w:val="22"/>
        </w:rPr>
        <w:t xml:space="preserve"> 2007, p. 1127-1162</w:t>
      </w:r>
    </w:p>
    <w:p w:rsidR="00F45136" w:rsidRPr="005F713B" w:rsidRDefault="00F45136" w:rsidP="00F45136">
      <w:pPr>
        <w:pStyle w:val="ListParagraph"/>
        <w:numPr>
          <w:ilvl w:val="0"/>
          <w:numId w:val="8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 xml:space="preserve">Ben HAMIDA (W), CABROL , HORCHANI (F), Chronique Droit et pratique des investissements internationaux, Revue de droit des affaires internationales. </w:t>
      </w:r>
      <w:hyperlink r:id="rId9" w:history="1">
        <w:r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http://www.iblj.com</w:t>
        </w:r>
      </w:hyperlink>
    </w:p>
    <w:p w:rsidR="00F45136" w:rsidRPr="005F713B" w:rsidRDefault="00F45136" w:rsidP="00F45136">
      <w:pPr>
        <w:pStyle w:val="ListParagraph"/>
        <w:numPr>
          <w:ilvl w:val="0"/>
          <w:numId w:val="7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>Burdeau (G): « Nouvelles perspectives pour l’arbitrage dans le contentieux économique intéressant les Etats », Rev arb, 1995, p. 3 et s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lastRenderedPageBreak/>
        <w:t>Derains (Y): « L’impact des accords de protection des investissements sur l’arbitrage », Gazette du Palais 29 Avril 2001, pp. 50-54.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Fadlallah (I): « La distinction Treaty claims- Contract claims » et la compétence de l’arbitre (Cirdi: faisons nous fausse route ?) », Gazette Du Palais, Chronique Investissements internationaux et arbitrage, 7 Décembre 2004, pp. 3 et s.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Gaillard (E): « L’arbitrage sur le fondement des traités de protection des investissements », rev arb n° 3, 2003, pp.853-878.</w:t>
      </w:r>
    </w:p>
    <w:p w:rsidR="00F45136" w:rsidRPr="005F713B" w:rsidRDefault="00F45136" w:rsidP="00F45136">
      <w:pPr>
        <w:pStyle w:val="ListParagraph"/>
        <w:numPr>
          <w:ilvl w:val="0"/>
          <w:numId w:val="7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  <w:lang w:bidi="ar-TN"/>
        </w:rPr>
        <w:t>HORCHANI (Ferhat),</w:t>
      </w:r>
      <w:r w:rsidRPr="005F713B">
        <w:rPr>
          <w:rFonts w:cs="Arabic Transparent"/>
          <w:color w:val="000000"/>
          <w:sz w:val="22"/>
          <w:szCs w:val="22"/>
        </w:rPr>
        <w:t xml:space="preserve"> « Le droit international des investissements à l’heure de la mondialisation », Journal du droit international (Clunet) 2004 n° 2. p.367-417.</w:t>
      </w:r>
    </w:p>
    <w:p w:rsidR="00F45136" w:rsidRPr="005F713B" w:rsidRDefault="00F45136" w:rsidP="00F45136">
      <w:pPr>
        <w:numPr>
          <w:ilvl w:val="0"/>
          <w:numId w:val="1"/>
        </w:numPr>
        <w:bidi w:val="0"/>
        <w:spacing w:line="320" w:lineRule="exact"/>
        <w:ind w:right="-102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  <w:lang w:bidi="ar-TN"/>
        </w:rPr>
        <w:t xml:space="preserve">HORCHANI (Ferhat) </w:t>
      </w:r>
      <w:r w:rsidRPr="005F713B">
        <w:rPr>
          <w:rFonts w:cs="Arabic Transparent"/>
          <w:color w:val="000000"/>
          <w:sz w:val="22"/>
          <w:szCs w:val="22"/>
        </w:rPr>
        <w:t>« Le développement au cœur de la notion d’investissement », Mélanges Carreau-Juillard, Pedone, Paris ?2009</w:t>
      </w:r>
    </w:p>
    <w:p w:rsidR="00F45136" w:rsidRPr="005F713B" w:rsidRDefault="00F45136" w:rsidP="00F45136">
      <w:pPr>
        <w:pStyle w:val="ListParagraph"/>
        <w:numPr>
          <w:ilvl w:val="0"/>
          <w:numId w:val="7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  <w:lang w:bidi="ar-TN"/>
        </w:rPr>
        <w:t xml:space="preserve">HORCHANI (Ferhat) </w:t>
      </w:r>
      <w:r w:rsidRPr="005F713B">
        <w:rPr>
          <w:rFonts w:cs="Arabic Transparent"/>
          <w:color w:val="000000"/>
          <w:sz w:val="22"/>
          <w:szCs w:val="22"/>
        </w:rPr>
        <w:t>« Investissements et droits de l’homme », in Droits éconmiques et droits de l’homme, éditions Larcier, 2009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Huu-Tru.(N): « Le réseau suisse d’accords bilatéraux d’encouragement et de protection des investissements », R.G.D.I.P, 1988, vol.92, pp. 577- 668.</w:t>
      </w:r>
    </w:p>
    <w:p w:rsidR="00F45136" w:rsidRPr="005F713B" w:rsidRDefault="00F45136" w:rsidP="00F45136">
      <w:pPr>
        <w:pStyle w:val="FootnoteText"/>
        <w:numPr>
          <w:ilvl w:val="0"/>
          <w:numId w:val="1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Juillard.(P): « Les conventions bilatérales d’investissements conclues par la France », J.D.I, 1979, pp. 274- 325.</w:t>
      </w:r>
    </w:p>
    <w:p w:rsidR="00F45136" w:rsidRPr="005F713B" w:rsidRDefault="00F45136" w:rsidP="00F45136">
      <w:pPr>
        <w:pStyle w:val="FootnoteText"/>
        <w:numPr>
          <w:ilvl w:val="0"/>
          <w:numId w:val="1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Juillard. (P): « Contrats d’Etats et investissement », in Contrats internationaux et pays en développement, sous la direction de H.Cassan, Economica, 1989.</w:t>
      </w:r>
    </w:p>
    <w:p w:rsidR="00F45136" w:rsidRPr="005F713B" w:rsidRDefault="00F45136" w:rsidP="00F45136">
      <w:pPr>
        <w:pStyle w:val="ListParagraph"/>
        <w:numPr>
          <w:ilvl w:val="0"/>
          <w:numId w:val="7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>Juillard. (P): « Investissements », Chronique du droit international économique, AFDI, 1983, pp. 589- 605.</w:t>
      </w:r>
    </w:p>
    <w:p w:rsidR="00F45136" w:rsidRPr="005F713B" w:rsidRDefault="00F45136" w:rsidP="00F45136">
      <w:pPr>
        <w:pStyle w:val="ListParagraph"/>
        <w:numPr>
          <w:ilvl w:val="0"/>
          <w:numId w:val="7"/>
        </w:numPr>
        <w:spacing w:line="320" w:lineRule="exact"/>
        <w:contextualSpacing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</w:rPr>
        <w:t>Juillard. (P): « L’évolution des sources du droit des investissements », Recueil des cours, tome 250, R.C.A.D.I., 1994.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Lemaire (A): « le nouveau visage de l’arbitrage entre Etat et investisseur étranger: le chapitre 11 de l’Alena », Rev Arb n°1, 2001, pp.43-91.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Nouvel. (Y): « Les mesures équivalant à une expropriation dans la pratique récente des tribunaux arbitraux », R.G.D.I.P, 2002-1.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  <w:lang w:val="en-GB"/>
        </w:rPr>
      </w:pPr>
      <w:r w:rsidRPr="005F713B">
        <w:rPr>
          <w:rFonts w:cs="Arabic Transparent"/>
          <w:color w:val="000000"/>
          <w:sz w:val="22"/>
          <w:szCs w:val="22"/>
          <w:lang w:val="en-GB"/>
        </w:rPr>
        <w:t>Paulsson (J): «Arbitration withau Privity », ICSID Review, Foreign Investment Law Journal, volume 10, 1995, pp. 232-257.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Rubins. (N): « Les innovations arbitrales dans les récents accords américains de libre-échange: deux pas en avant, un pas en arrière », R.D.A.I/IBLJ, n°8, 2003, pp. 865- 885.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Stern. (B): “ L’entrée de la société civile dans l’arbitrage entre Etat et investisseur”, R.A, n°2, 2002, pp. 329- 345.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bCs/>
          <w:color w:val="000000"/>
          <w:sz w:val="22"/>
          <w:szCs w:val="22"/>
        </w:rPr>
      </w:pPr>
      <w:r w:rsidRPr="005F713B">
        <w:rPr>
          <w:rFonts w:cs="Arabic Transparent"/>
          <w:bCs/>
          <w:color w:val="000000"/>
          <w:sz w:val="22"/>
          <w:szCs w:val="22"/>
        </w:rPr>
        <w:t>Stern (B): « Le consentement à l’arbitrage CIRDI en matière d’investissement international: que disent les travaux préparatoires », in Mélanges PH. Khan, CREDIMI, Dijon, Litec, 2000, pp. 223-244.</w:t>
      </w:r>
    </w:p>
    <w:p w:rsidR="00F45136" w:rsidRPr="005F713B" w:rsidRDefault="00F45136" w:rsidP="00F45136">
      <w:pPr>
        <w:pStyle w:val="FootnoteText"/>
        <w:numPr>
          <w:ilvl w:val="0"/>
          <w:numId w:val="7"/>
        </w:numPr>
        <w:bidi w:val="0"/>
        <w:spacing w:line="320" w:lineRule="exact"/>
        <w:jc w:val="both"/>
        <w:rPr>
          <w:rFonts w:cs="Arabic Transparent"/>
          <w:bCs/>
          <w:color w:val="000000"/>
          <w:sz w:val="22"/>
          <w:szCs w:val="22"/>
        </w:rPr>
      </w:pPr>
      <w:r w:rsidRPr="005F713B">
        <w:rPr>
          <w:rFonts w:cs="Arabic Transparent"/>
          <w:bCs/>
          <w:color w:val="000000"/>
          <w:sz w:val="22"/>
          <w:szCs w:val="22"/>
        </w:rPr>
        <w:t>Teynier. (E): « Notion d’investisseur », in Gazette du Palais, chronique arbitrage et investissements internationaux, décembre 2004.</w:t>
      </w:r>
    </w:p>
    <w:p w:rsidR="00F45136" w:rsidRPr="005F713B" w:rsidRDefault="00F45136" w:rsidP="00F45136">
      <w:pPr>
        <w:pStyle w:val="ListParagraph"/>
        <w:numPr>
          <w:ilvl w:val="0"/>
          <w:numId w:val="7"/>
        </w:numPr>
        <w:spacing w:line="320" w:lineRule="exact"/>
        <w:contextualSpacing/>
        <w:jc w:val="both"/>
        <w:rPr>
          <w:rFonts w:cs="Arabic Transparent"/>
          <w:bCs/>
          <w:color w:val="000000"/>
          <w:sz w:val="22"/>
          <w:szCs w:val="22"/>
          <w:lang w:bidi="ar-TN"/>
        </w:rPr>
      </w:pPr>
      <w:r w:rsidRPr="005F713B">
        <w:rPr>
          <w:rFonts w:cs="Arabic Transparent"/>
          <w:bCs/>
          <w:color w:val="000000"/>
          <w:sz w:val="22"/>
          <w:szCs w:val="22"/>
          <w:lang w:bidi="ar-TN"/>
        </w:rPr>
        <w:t>Weil (P), « Les clauses de stabilisations ou d’intangibilité insérées dans les accords de développement économique », in Mélange Ch. Rousseau, 1974, pp. 308</w:t>
      </w:r>
    </w:p>
    <w:p w:rsidR="00F45136" w:rsidRPr="005F713B" w:rsidRDefault="00F45136" w:rsidP="00F45136">
      <w:pPr>
        <w:pStyle w:val="FootnoteText"/>
        <w:numPr>
          <w:ilvl w:val="0"/>
          <w:numId w:val="1"/>
        </w:numPr>
        <w:bidi w:val="0"/>
        <w:spacing w:line="320" w:lineRule="exact"/>
        <w:jc w:val="both"/>
        <w:rPr>
          <w:rFonts w:cs="Arabic Transparent"/>
          <w:bCs/>
          <w:color w:val="000000"/>
          <w:sz w:val="22"/>
          <w:szCs w:val="22"/>
        </w:rPr>
      </w:pPr>
      <w:r w:rsidRPr="005F713B">
        <w:rPr>
          <w:rFonts w:cs="Arabic Transparent"/>
          <w:bCs/>
          <w:color w:val="000000"/>
          <w:sz w:val="22"/>
          <w:szCs w:val="22"/>
        </w:rPr>
        <w:lastRenderedPageBreak/>
        <w:t>Yala(F): « La notion d’investissement », « La notion d’investisseur », in Gazette du Palais, chronique arbitrage et investissements internationaux, décembre 2004.</w:t>
      </w:r>
    </w:p>
    <w:p w:rsidR="00F45136" w:rsidRPr="005F713B" w:rsidRDefault="00F45136" w:rsidP="00F45136">
      <w:pPr>
        <w:pStyle w:val="ListParagraph"/>
        <w:numPr>
          <w:ilvl w:val="0"/>
          <w:numId w:val="11"/>
        </w:numPr>
        <w:spacing w:line="320" w:lineRule="exact"/>
        <w:rPr>
          <w:rFonts w:cs="Arabic Transparent"/>
          <w:i/>
          <w:iCs/>
          <w:sz w:val="22"/>
          <w:szCs w:val="22"/>
        </w:rPr>
      </w:pPr>
      <w:r w:rsidRPr="005F713B">
        <w:rPr>
          <w:rFonts w:cs="Arabic Transparent"/>
          <w:sz w:val="22"/>
          <w:szCs w:val="22"/>
        </w:rPr>
        <w:t>Yala (F): « Fondement des demandes des investisseurs (« Treaty claims /Contract claims », Gazette du Palais, Chronique Investissements internationaux et arbitrage, 7 et 8 novembre 2003, pp. 12-15.</w:t>
      </w:r>
    </w:p>
    <w:p w:rsidR="00F45136" w:rsidRDefault="00F45136" w:rsidP="00F45136">
      <w:pPr>
        <w:bidi w:val="0"/>
        <w:spacing w:line="320" w:lineRule="exact"/>
        <w:rPr>
          <w:rFonts w:cs="Arabic Transparent"/>
          <w:i/>
          <w:iCs/>
          <w:sz w:val="22"/>
          <w:szCs w:val="22"/>
          <w:rtl/>
        </w:rPr>
      </w:pPr>
    </w:p>
    <w:p w:rsidR="00F45136" w:rsidRPr="005F713B" w:rsidRDefault="00F45136" w:rsidP="00F45136">
      <w:pPr>
        <w:bidi w:val="0"/>
        <w:spacing w:line="320" w:lineRule="exact"/>
        <w:rPr>
          <w:rFonts w:cs="Arabic Transparent"/>
          <w:i/>
          <w:iCs/>
          <w:sz w:val="22"/>
          <w:szCs w:val="22"/>
        </w:rPr>
      </w:pPr>
    </w:p>
    <w:p w:rsidR="00F45136" w:rsidRPr="005F713B" w:rsidRDefault="00F45136" w:rsidP="00F45136">
      <w:pPr>
        <w:numPr>
          <w:ilvl w:val="0"/>
          <w:numId w:val="9"/>
        </w:numPr>
        <w:bidi w:val="0"/>
        <w:spacing w:line="320" w:lineRule="exact"/>
        <w:ind w:right="-102"/>
        <w:jc w:val="both"/>
        <w:rPr>
          <w:rFonts w:cs="Arabic Transparent"/>
          <w:b/>
          <w:bCs/>
          <w:color w:val="000000"/>
          <w:sz w:val="22"/>
          <w:szCs w:val="22"/>
        </w:rPr>
      </w:pPr>
      <w:r w:rsidRPr="005F713B">
        <w:rPr>
          <w:rFonts w:cs="Arabic Transparent"/>
          <w:b/>
          <w:bCs/>
          <w:color w:val="000000"/>
          <w:sz w:val="22"/>
          <w:szCs w:val="22"/>
        </w:rPr>
        <w:t>Colloques (</w:t>
      </w:r>
      <w:r w:rsidRPr="005F713B">
        <w:rPr>
          <w:rStyle w:val="shorttext"/>
          <w:rFonts w:cs="Arabic Transparent"/>
          <w:color w:val="000000"/>
          <w:sz w:val="22"/>
          <w:szCs w:val="22"/>
          <w:shd w:val="clear" w:color="auto" w:fill="FFFFFF"/>
        </w:rPr>
        <w:t>Conferences)</w:t>
      </w:r>
    </w:p>
    <w:p w:rsidR="00F45136" w:rsidRPr="005F713B" w:rsidRDefault="00F45136" w:rsidP="00F45136">
      <w:pPr>
        <w:pStyle w:val="ListParagraph"/>
        <w:numPr>
          <w:ilvl w:val="0"/>
          <w:numId w:val="11"/>
        </w:numPr>
        <w:spacing w:line="320" w:lineRule="exact"/>
        <w:rPr>
          <w:rFonts w:cs="Arabic Transparent"/>
          <w:sz w:val="22"/>
          <w:szCs w:val="22"/>
        </w:rPr>
      </w:pPr>
      <w:r w:rsidRPr="005F713B">
        <w:rPr>
          <w:rFonts w:cs="Arabic Transparent"/>
          <w:sz w:val="22"/>
          <w:szCs w:val="22"/>
        </w:rPr>
        <w:t>Le contentieux arbitral transnational relatif à l'investissement. Nouveaux développements Collection: Bibliothèque des hautes études internationales de Paris, Anthemis, Paris,2006</w:t>
      </w:r>
    </w:p>
    <w:p w:rsidR="00F45136" w:rsidRPr="005F713B" w:rsidRDefault="00F45136" w:rsidP="00F45136">
      <w:pPr>
        <w:pStyle w:val="FootnoteText"/>
        <w:numPr>
          <w:ilvl w:val="0"/>
          <w:numId w:val="6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S.F.D.I, journée d’études ; Un accord multilatéral sur l’investissement: d’un forum de négociations à l’autre, Pedone, 1999, pp. 7- 28.</w:t>
      </w:r>
    </w:p>
    <w:p w:rsidR="00F45136" w:rsidRPr="005F713B" w:rsidRDefault="00F45136" w:rsidP="00F45136">
      <w:pPr>
        <w:numPr>
          <w:ilvl w:val="0"/>
          <w:numId w:val="9"/>
        </w:numPr>
        <w:bidi w:val="0"/>
        <w:spacing w:line="320" w:lineRule="exact"/>
        <w:ind w:right="-102"/>
        <w:jc w:val="both"/>
        <w:rPr>
          <w:rFonts w:cs="Arabic Transparent"/>
          <w:b/>
          <w:bCs/>
          <w:color w:val="000000"/>
          <w:sz w:val="22"/>
          <w:szCs w:val="22"/>
        </w:rPr>
      </w:pPr>
      <w:r w:rsidRPr="005F713B">
        <w:rPr>
          <w:rFonts w:cs="Arabic Transparent"/>
          <w:b/>
          <w:bCs/>
          <w:color w:val="000000"/>
          <w:sz w:val="22"/>
          <w:szCs w:val="22"/>
        </w:rPr>
        <w:t>Rapports officiels (</w:t>
      </w:r>
      <w:r w:rsidRPr="005F713B">
        <w:rPr>
          <w:rStyle w:val="shorttext"/>
          <w:rFonts w:cs="Arabic Transparent"/>
          <w:color w:val="000000"/>
          <w:sz w:val="22"/>
          <w:szCs w:val="22"/>
          <w:shd w:val="clear" w:color="auto" w:fill="FFFFFF"/>
        </w:rPr>
        <w:t>Official Reports</w:t>
      </w:r>
      <w:r w:rsidRPr="005F713B">
        <w:rPr>
          <w:rFonts w:cs="Arabic Transparent"/>
          <w:b/>
          <w:bCs/>
          <w:color w:val="000000"/>
          <w:sz w:val="22"/>
          <w:szCs w:val="22"/>
        </w:rPr>
        <w:t>)</w:t>
      </w:r>
    </w:p>
    <w:p w:rsidR="00F45136" w:rsidRPr="005F713B" w:rsidRDefault="00F45136" w:rsidP="00F45136">
      <w:pPr>
        <w:pStyle w:val="FootnoteText"/>
        <w:numPr>
          <w:ilvl w:val="0"/>
          <w:numId w:val="10"/>
        </w:numPr>
        <w:bidi w:val="0"/>
        <w:spacing w:line="320" w:lineRule="exact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 xml:space="preserve">OECD: « Transparency and third party participation in investor-State dispute settlement procedures », documents de travail sur l’investissement international n° 2005/1, avril 2005. (Version française disponible sur le site de l’OECD </w:t>
      </w:r>
      <w:hyperlink r:id="rId10" w:history="1">
        <w:hyperlink r:id="rId11" w:history="1">
          <w:r w:rsidRPr="005F713B">
            <w:rPr>
              <w:rStyle w:val="Hyperlink"/>
              <w:rFonts w:cs="Arabic Transparent"/>
              <w:color w:val="000000"/>
              <w:sz w:val="22"/>
              <w:szCs w:val="22"/>
            </w:rPr>
            <w:t>http://www.oecd.org/document/55/0,2340,fr_2649_34863_35076717_1_1_1_1,00.html</w:t>
          </w:r>
        </w:hyperlink>
      </w:hyperlink>
      <w:r w:rsidRPr="005F713B">
        <w:rPr>
          <w:rFonts w:cs="Arabic Transparent"/>
          <w:color w:val="000000"/>
          <w:sz w:val="22"/>
          <w:szCs w:val="22"/>
        </w:rPr>
        <w:t xml:space="preserve"> ).</w:t>
      </w:r>
    </w:p>
    <w:p w:rsidR="00F45136" w:rsidRPr="005F713B" w:rsidRDefault="00F45136" w:rsidP="00F45136">
      <w:pPr>
        <w:pStyle w:val="FootnoteText"/>
        <w:numPr>
          <w:ilvl w:val="0"/>
          <w:numId w:val="10"/>
        </w:numPr>
        <w:bidi w:val="0"/>
        <w:spacing w:line="300" w:lineRule="exact"/>
        <w:ind w:left="714" w:hanging="357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OECD: « L’ « expropriation indirecte » et le « droit de réglementer » dans le droit international de l’investissement », documents de travail sur l’investissement international n° 2004/4, septembre 2004.</w:t>
      </w:r>
    </w:p>
    <w:p w:rsidR="00F45136" w:rsidRPr="005F713B" w:rsidRDefault="00F45136" w:rsidP="00F45136">
      <w:pPr>
        <w:pStyle w:val="FootnoteText"/>
        <w:numPr>
          <w:ilvl w:val="0"/>
          <w:numId w:val="10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OECD: « La norme de traitement juste et équitable dans le droit international des investissements, documents de travail sur l’investissement international n° 2004/3, septembre 2004.</w:t>
      </w:r>
    </w:p>
    <w:p w:rsidR="00F45136" w:rsidRPr="005F713B" w:rsidRDefault="00F45136" w:rsidP="00F45136">
      <w:pPr>
        <w:pStyle w:val="FootnoteText"/>
        <w:numPr>
          <w:ilvl w:val="0"/>
          <w:numId w:val="10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OECD: « Le traitement de la nation la plus favorisée dans le droit international de l’investissement », documents de travail sur l’investissement international n° 2004/2, septembre 2004.</w:t>
      </w:r>
    </w:p>
    <w:p w:rsidR="00F45136" w:rsidRPr="005F713B" w:rsidRDefault="00F45136" w:rsidP="00F45136">
      <w:pPr>
        <w:pStyle w:val="FootnoteText"/>
        <w:numPr>
          <w:ilvl w:val="0"/>
          <w:numId w:val="3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  <w:lang w:val="en-GB"/>
        </w:rPr>
      </w:pPr>
      <w:r w:rsidRPr="005F713B">
        <w:rPr>
          <w:rFonts w:cs="Arabic Transparent"/>
          <w:color w:val="000000"/>
          <w:sz w:val="22"/>
          <w:szCs w:val="22"/>
          <w:lang w:val="en-US"/>
        </w:rPr>
        <w:t>OECD « </w:t>
      </w:r>
      <w:r w:rsidRPr="005F713B">
        <w:rPr>
          <w:rFonts w:cs="Arabic Transparent"/>
          <w:color w:val="000000"/>
          <w:sz w:val="22"/>
          <w:szCs w:val="22"/>
          <w:lang w:val="en-GB"/>
        </w:rPr>
        <w:t xml:space="preserve">Report of the Advisory Committee On International Economic Policy, « Regarding The Draft Model Bilateral Investment Treaty», 11 février 2004, en ligne à la page </w:t>
      </w:r>
      <w:hyperlink r:id="rId12" w:history="1">
        <w:r w:rsidRPr="005F713B">
          <w:rPr>
            <w:rStyle w:val="Hyperlink"/>
            <w:rFonts w:cs="Arabic Transparent"/>
            <w:color w:val="000000"/>
            <w:sz w:val="22"/>
            <w:szCs w:val="22"/>
            <w:lang w:val="en-GB"/>
          </w:rPr>
          <w:t>http://ciel.org/Publications/BIT_Subcmte_Jan3004.pdf</w:t>
        </w:r>
      </w:hyperlink>
      <w:r w:rsidRPr="005F713B">
        <w:rPr>
          <w:rFonts w:cs="Arabic Transparent"/>
          <w:color w:val="000000"/>
          <w:sz w:val="22"/>
          <w:szCs w:val="22"/>
          <w:lang w:val="en-GB"/>
        </w:rPr>
        <w:t>.</w:t>
      </w:r>
    </w:p>
    <w:p w:rsidR="00F45136" w:rsidRPr="005F713B" w:rsidRDefault="00F45136" w:rsidP="00F45136">
      <w:pPr>
        <w:numPr>
          <w:ilvl w:val="0"/>
          <w:numId w:val="1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  <w:lang w:bidi="ar-TN"/>
        </w:rPr>
      </w:pPr>
      <w:r w:rsidRPr="005F713B">
        <w:rPr>
          <w:rFonts w:cs="Arabic Transparent"/>
          <w:color w:val="000000"/>
          <w:sz w:val="22"/>
          <w:szCs w:val="22"/>
          <w:lang w:bidi="ar-TN"/>
        </w:rPr>
        <w:t>UNCTAD, Word Investment Report 2009</w:t>
      </w:r>
    </w:p>
    <w:p w:rsidR="00F45136" w:rsidRPr="005F713B" w:rsidRDefault="00F45136" w:rsidP="00F45136">
      <w:pPr>
        <w:numPr>
          <w:ilvl w:val="0"/>
          <w:numId w:val="1"/>
        </w:numPr>
        <w:bidi w:val="0"/>
        <w:spacing w:line="320" w:lineRule="exact"/>
        <w:jc w:val="both"/>
        <w:rPr>
          <w:rFonts w:cs="Arabic Transparent"/>
          <w:color w:val="000000"/>
          <w:sz w:val="22"/>
          <w:szCs w:val="22"/>
          <w:lang w:val="en-US" w:bidi="ar-TN"/>
        </w:rPr>
      </w:pPr>
      <w:r w:rsidRPr="005F713B">
        <w:rPr>
          <w:rFonts w:cs="Arabic Transparent"/>
          <w:color w:val="000000"/>
          <w:sz w:val="22"/>
          <w:szCs w:val="22"/>
          <w:lang w:val="en-US" w:bidi="ar-TN"/>
        </w:rPr>
        <w:t>UNCTAD, Recent developments in international investments agreements (2008-June 2009,</w:t>
      </w:r>
      <w:r w:rsidRPr="005F713B">
        <w:rPr>
          <w:rFonts w:cs="Arabic Transparent"/>
          <w:color w:val="000000"/>
          <w:sz w:val="22"/>
          <w:szCs w:val="22"/>
          <w:lang w:val="en-US"/>
        </w:rPr>
        <w:t xml:space="preserve"> IIA MONITOR No. 3 (2009)</w:t>
      </w:r>
      <w:r w:rsidRPr="005F713B">
        <w:rPr>
          <w:rFonts w:cs="Arabic Transparent"/>
          <w:color w:val="000000"/>
          <w:sz w:val="22"/>
          <w:szCs w:val="22"/>
          <w:lang w:val="en-US" w:bidi="ar-TN"/>
        </w:rPr>
        <w:t xml:space="preserve">, </w:t>
      </w:r>
      <w:r w:rsidRPr="005F713B">
        <w:rPr>
          <w:rFonts w:cs="Arabic Transparent"/>
          <w:color w:val="000000"/>
          <w:sz w:val="22"/>
          <w:szCs w:val="22"/>
          <w:lang w:val="en-US"/>
        </w:rPr>
        <w:t>International Investment Agreements, United Nations, New York and Geneva, 2009.</w:t>
      </w:r>
    </w:p>
    <w:p w:rsidR="00F45136" w:rsidRPr="005F713B" w:rsidRDefault="00F45136" w:rsidP="00F45136">
      <w:pPr>
        <w:pStyle w:val="FootnoteText"/>
        <w:numPr>
          <w:ilvl w:val="0"/>
          <w:numId w:val="9"/>
        </w:numPr>
        <w:bidi w:val="0"/>
        <w:spacing w:line="300" w:lineRule="exact"/>
        <w:ind w:left="567" w:hanging="567"/>
        <w:jc w:val="both"/>
        <w:rPr>
          <w:rFonts w:cs="Arabic Transparent"/>
          <w:b/>
          <w:bCs/>
          <w:caps/>
          <w:color w:val="000000"/>
          <w:sz w:val="22"/>
          <w:szCs w:val="22"/>
        </w:rPr>
      </w:pPr>
      <w:r w:rsidRPr="005F713B">
        <w:rPr>
          <w:rFonts w:cs="Arabic Transparent"/>
          <w:b/>
          <w:bCs/>
          <w:caps/>
          <w:color w:val="000000"/>
          <w:sz w:val="22"/>
          <w:szCs w:val="22"/>
        </w:rPr>
        <w:t>web sites</w:t>
      </w:r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</w:rPr>
      </w:pPr>
      <w:hyperlink r:id="rId13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www.state.gov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ind w:left="567" w:hanging="567"/>
        <w:jc w:val="both"/>
        <w:rPr>
          <w:rFonts w:cs="Arabic Transparent"/>
          <w:color w:val="000000"/>
          <w:sz w:val="22"/>
          <w:szCs w:val="22"/>
        </w:rPr>
      </w:pPr>
      <w:hyperlink r:id="rId14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http://www.asil.org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jc w:val="both"/>
        <w:rPr>
          <w:rFonts w:cs="Arabic Transparent"/>
          <w:color w:val="000000"/>
          <w:sz w:val="22"/>
          <w:szCs w:val="22"/>
        </w:rPr>
      </w:pPr>
      <w:hyperlink r:id="rId15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http://www.oecd.org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ind w:left="567" w:hanging="567"/>
        <w:jc w:val="both"/>
        <w:rPr>
          <w:rFonts w:cs="Arabic Transparent"/>
          <w:color w:val="000000"/>
          <w:sz w:val="22"/>
          <w:szCs w:val="22"/>
        </w:rPr>
      </w:pPr>
      <w:hyperlink r:id="rId16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http://www.miga.org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ind w:left="567" w:hanging="567"/>
        <w:jc w:val="both"/>
        <w:rPr>
          <w:rFonts w:cs="Arabic Transparent"/>
          <w:color w:val="000000"/>
          <w:sz w:val="22"/>
          <w:szCs w:val="22"/>
          <w:u w:val="single"/>
        </w:rPr>
      </w:pPr>
      <w:hyperlink r:id="rId17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www.icsid.org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ind w:left="567" w:hanging="567"/>
        <w:jc w:val="both"/>
        <w:rPr>
          <w:rFonts w:cs="Arabic Transparent"/>
          <w:color w:val="000000"/>
          <w:sz w:val="22"/>
          <w:szCs w:val="22"/>
        </w:rPr>
      </w:pPr>
      <w:hyperlink r:id="rId18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http://www.unctad.org</w:t>
        </w:r>
      </w:hyperlink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</w:rPr>
      </w:pPr>
      <w:hyperlink r:id="rId19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http://www.unctad.org/en/docs/webdiaeia20096_en.pdf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jc w:val="both"/>
        <w:rPr>
          <w:rFonts w:cs="Arabic Transparent"/>
          <w:color w:val="000000"/>
          <w:sz w:val="22"/>
          <w:szCs w:val="22"/>
        </w:rPr>
      </w:pPr>
      <w:hyperlink r:id="rId20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http://www.nafta-sec-alena.org</w:t>
        </w:r>
      </w:hyperlink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</w:rPr>
      </w:pPr>
      <w:hyperlink r:id="rId21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www.Transnational-Dispute-Management.com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ind w:left="567" w:hanging="567"/>
        <w:jc w:val="both"/>
        <w:rPr>
          <w:rFonts w:cs="Arabic Transparent"/>
          <w:color w:val="000000"/>
          <w:sz w:val="22"/>
          <w:szCs w:val="22"/>
        </w:rPr>
      </w:pPr>
      <w:hyperlink r:id="rId22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http://www.dfait-maeci.gc.ca/tna-nac/NAFTA-Interpr-en.asp</w:t>
        </w:r>
      </w:hyperlink>
    </w:p>
    <w:p w:rsidR="00F45136" w:rsidRPr="005F713B" w:rsidRDefault="00A23055" w:rsidP="00F45136">
      <w:pPr>
        <w:pStyle w:val="FootnoteText"/>
        <w:tabs>
          <w:tab w:val="right" w:pos="6802"/>
        </w:tabs>
        <w:bidi w:val="0"/>
        <w:spacing w:line="300" w:lineRule="exact"/>
        <w:jc w:val="both"/>
        <w:rPr>
          <w:rFonts w:cs="Arabic Transparent"/>
          <w:color w:val="000000"/>
          <w:sz w:val="22"/>
          <w:szCs w:val="22"/>
          <w:rtl/>
        </w:rPr>
      </w:pPr>
      <w:hyperlink r:id="rId23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www.worldbank.org/DoingBusiness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jc w:val="both"/>
        <w:rPr>
          <w:rFonts w:cs="Arabic Transparent"/>
          <w:color w:val="000000"/>
          <w:sz w:val="22"/>
          <w:szCs w:val="22"/>
        </w:rPr>
      </w:pPr>
      <w:hyperlink r:id="rId24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www.heritage.org</w:t>
        </w:r>
      </w:hyperlink>
    </w:p>
    <w:p w:rsidR="00F45136" w:rsidRPr="005F713B" w:rsidRDefault="00F45136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</w:rPr>
      </w:pPr>
      <w:r w:rsidRPr="005F713B">
        <w:rPr>
          <w:rFonts w:cs="Arabic Transparent"/>
          <w:color w:val="000000"/>
          <w:sz w:val="22"/>
          <w:szCs w:val="22"/>
        </w:rPr>
        <w:t>http: //www.transparency.org</w:t>
      </w:r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  <w:rtl/>
        </w:rPr>
      </w:pPr>
      <w:hyperlink r:id="rId25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www.unctad.org/fdistatistics</w:t>
        </w:r>
      </w:hyperlink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  <w:rtl/>
        </w:rPr>
      </w:pPr>
      <w:hyperlink r:id="rId26" w:history="1">
        <w:r w:rsidR="00F45136" w:rsidRPr="005F713B">
          <w:rPr>
            <w:rStyle w:val="Hyperlink"/>
            <w:rFonts w:cs="Arabic Transparent"/>
            <w:bCs/>
            <w:color w:val="000000"/>
            <w:sz w:val="22"/>
            <w:szCs w:val="22"/>
          </w:rPr>
          <w:t>www.ococonsulting.com</w:t>
        </w:r>
      </w:hyperlink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  <w:rtl/>
        </w:rPr>
      </w:pPr>
      <w:hyperlink r:id="rId27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http://devdata.worldbank.org/edstats/cg.asp</w:t>
        </w:r>
      </w:hyperlink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  <w:rtl/>
          <w:lang w:bidi="ar-TN"/>
        </w:rPr>
      </w:pPr>
      <w:hyperlink r:id="rId28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  <w:lang w:val="en-GB"/>
          </w:rPr>
          <w:t>www.menareport.com</w:t>
        </w:r>
      </w:hyperlink>
    </w:p>
    <w:p w:rsidR="00F45136" w:rsidRPr="005F713B" w:rsidRDefault="00A23055" w:rsidP="00F45136">
      <w:pPr>
        <w:spacing w:line="300" w:lineRule="exact"/>
        <w:jc w:val="right"/>
        <w:rPr>
          <w:rFonts w:cs="Arabic Transparent"/>
          <w:color w:val="000000"/>
          <w:sz w:val="22"/>
          <w:szCs w:val="22"/>
          <w:rtl/>
        </w:rPr>
      </w:pPr>
      <w:hyperlink r:id="rId29" w:history="1">
        <w:r w:rsidR="00F45136" w:rsidRPr="005F713B">
          <w:rPr>
            <w:rStyle w:val="Hyperlink"/>
            <w:rFonts w:cs="Arabic Transparent"/>
            <w:color w:val="000000"/>
            <w:sz w:val="22"/>
            <w:szCs w:val="22"/>
          </w:rPr>
          <w:t>http://www.iisd.org/investment/model/default_fr.asp</w:t>
        </w:r>
      </w:hyperlink>
    </w:p>
    <w:p w:rsidR="00F45136" w:rsidRPr="005F713B" w:rsidRDefault="00A23055" w:rsidP="00F45136">
      <w:pPr>
        <w:pStyle w:val="FootnoteText"/>
        <w:bidi w:val="0"/>
        <w:spacing w:line="300" w:lineRule="exact"/>
        <w:jc w:val="both"/>
        <w:rPr>
          <w:rFonts w:cs="Arabic Transparent"/>
          <w:color w:val="000000"/>
          <w:sz w:val="22"/>
          <w:szCs w:val="22"/>
        </w:rPr>
      </w:pPr>
      <w:hyperlink r:id="rId30" w:tgtFrame="_blank" w:history="1">
        <w:r w:rsidR="00F45136" w:rsidRPr="005F713B">
          <w:rPr>
            <w:rFonts w:cs="Arabic Transparent"/>
            <w:iCs/>
            <w:color w:val="000000"/>
            <w:sz w:val="22"/>
            <w:szCs w:val="22"/>
            <w:u w:val="single"/>
          </w:rPr>
          <w:t>www.business-humanrights.org/LegalPortal</w:t>
        </w:r>
      </w:hyperlink>
    </w:p>
    <w:p w:rsidR="00F45136" w:rsidRPr="005F713B" w:rsidRDefault="00F45136" w:rsidP="00F45136">
      <w:pPr>
        <w:spacing w:line="300" w:lineRule="exact"/>
        <w:jc w:val="right"/>
        <w:rPr>
          <w:rFonts w:cs="Arabic Transparent"/>
          <w:bCs/>
          <w:color w:val="000000"/>
          <w:sz w:val="22"/>
          <w:szCs w:val="22"/>
        </w:rPr>
      </w:pPr>
      <w:r w:rsidRPr="005F713B">
        <w:rPr>
          <w:rFonts w:cs="Arabic Transparent"/>
          <w:bCs/>
          <w:color w:val="000000"/>
          <w:sz w:val="22"/>
          <w:szCs w:val="22"/>
        </w:rPr>
        <w:t>http://www.lextenso.fr/weblextenso/recherche/?recherche=simple&amp;words=arbitrage+cirdi</w:t>
      </w:r>
    </w:p>
    <w:p w:rsidR="00F45136" w:rsidRPr="00E27A21" w:rsidRDefault="00F45136" w:rsidP="00F45136">
      <w:pPr>
        <w:tabs>
          <w:tab w:val="right" w:leader="dot" w:pos="7937"/>
        </w:tabs>
        <w:spacing w:line="320" w:lineRule="exact"/>
        <w:rPr>
          <w:rFonts w:cs="Arabic Transparent"/>
          <w:sz w:val="28"/>
          <w:szCs w:val="28"/>
        </w:rPr>
      </w:pPr>
    </w:p>
    <w:p w:rsidR="00871FD8" w:rsidRPr="00F45136" w:rsidRDefault="00094E7A"/>
    <w:sectPr w:rsidR="00871FD8" w:rsidRPr="00F45136" w:rsidSect="00954A9A">
      <w:headerReference w:type="even" r:id="rId31"/>
      <w:headerReference w:type="default" r:id="rId32"/>
      <w:pgSz w:w="11906" w:h="16838" w:code="9"/>
      <w:pgMar w:top="1418" w:right="1134" w:bottom="2268" w:left="1134" w:header="720" w:footer="1418" w:gutter="0"/>
      <w:pgNumType w:start="15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7A" w:rsidRDefault="00094E7A" w:rsidP="00F45136">
      <w:r>
        <w:separator/>
      </w:r>
    </w:p>
  </w:endnote>
  <w:endnote w:type="continuationSeparator" w:id="1">
    <w:p w:rsidR="00094E7A" w:rsidRDefault="00094E7A" w:rsidP="00F4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7A" w:rsidRDefault="00094E7A" w:rsidP="00F45136">
      <w:r>
        <w:separator/>
      </w:r>
    </w:p>
  </w:footnote>
  <w:footnote w:type="continuationSeparator" w:id="1">
    <w:p w:rsidR="00094E7A" w:rsidRDefault="00094E7A" w:rsidP="00F4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AE" w:rsidRPr="00BC41FF" w:rsidRDefault="00455F6C" w:rsidP="00BC41FF">
    <w:pPr>
      <w:spacing w:before="120" w:after="120"/>
      <w:jc w:val="right"/>
      <w:outlineLvl w:val="0"/>
      <w:rPr>
        <w:rStyle w:val="PageNumber"/>
        <w:rFonts w:cs="Arabic Transparent"/>
        <w:color w:val="000000"/>
        <w:sz w:val="26"/>
        <w:szCs w:val="26"/>
        <w:rtl/>
        <w:lang w:bidi="ar-TN"/>
      </w:rPr>
    </w:pPr>
    <w:r w:rsidRPr="00BC41FF">
      <w:rPr>
        <w:rStyle w:val="PageNumber"/>
        <w:rFonts w:cs="Times New Roman" w:hint="cs"/>
        <w:b/>
        <w:bCs/>
        <w:sz w:val="24"/>
        <w:rtl/>
        <w:lang w:bidi="ar-TN"/>
      </w:rPr>
      <w:t>الفهرس</w:t>
    </w:r>
  </w:p>
  <w:tbl>
    <w:tblPr>
      <w:tblW w:w="0" w:type="auto"/>
      <w:tblInd w:w="10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834"/>
    </w:tblGrid>
    <w:tr w:rsidR="00AA58AE">
      <w:tc>
        <w:tcPr>
          <w:tcW w:w="6834" w:type="dxa"/>
        </w:tcPr>
        <w:p w:rsidR="00AA58AE" w:rsidRDefault="00094E7A" w:rsidP="002E6211">
          <w:pPr>
            <w:pStyle w:val="Header"/>
            <w:rPr>
              <w:sz w:val="16"/>
              <w:szCs w:val="16"/>
            </w:rPr>
          </w:pPr>
        </w:p>
      </w:tc>
    </w:tr>
  </w:tbl>
  <w:p w:rsidR="00AA58AE" w:rsidRPr="00305589" w:rsidRDefault="00094E7A" w:rsidP="003055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C9" w:rsidRPr="00FA27C9" w:rsidRDefault="00FA27C9" w:rsidP="00FA27C9">
    <w:pPr>
      <w:pStyle w:val="Header"/>
      <w:jc w:val="center"/>
      <w:rPr>
        <w:rFonts w:cs="Arabic Transparent"/>
        <w:sz w:val="28"/>
        <w:szCs w:val="28"/>
      </w:rPr>
    </w:pPr>
    <w:r>
      <w:rPr>
        <w:rFonts w:cs="Arabic Transparent" w:hint="cs"/>
        <w:sz w:val="28"/>
        <w:szCs w:val="28"/>
        <w:rtl/>
      </w:rPr>
      <w:t>-</w:t>
    </w:r>
    <w:sdt>
      <w:sdtPr>
        <w:rPr>
          <w:rFonts w:cs="Arabic Transparent"/>
          <w:sz w:val="28"/>
          <w:szCs w:val="28"/>
          <w:rtl/>
        </w:rPr>
        <w:id w:val="11427708"/>
        <w:docPartObj>
          <w:docPartGallery w:val="Page Numbers (Top of Page)"/>
          <w:docPartUnique/>
        </w:docPartObj>
      </w:sdtPr>
      <w:sdtContent>
        <w:r w:rsidR="00A23055" w:rsidRPr="00FA27C9">
          <w:rPr>
            <w:rFonts w:cs="Arabic Transparent"/>
            <w:sz w:val="28"/>
            <w:szCs w:val="28"/>
          </w:rPr>
          <w:fldChar w:fldCharType="begin"/>
        </w:r>
        <w:r w:rsidRPr="00FA27C9">
          <w:rPr>
            <w:rFonts w:cs="Arabic Transparent"/>
            <w:sz w:val="28"/>
            <w:szCs w:val="28"/>
          </w:rPr>
          <w:instrText xml:space="preserve"> PAGE   \* MERGEFORMAT </w:instrText>
        </w:r>
        <w:r w:rsidR="00A23055" w:rsidRPr="00FA27C9">
          <w:rPr>
            <w:rFonts w:cs="Arabic Transparent"/>
            <w:sz w:val="28"/>
            <w:szCs w:val="28"/>
          </w:rPr>
          <w:fldChar w:fldCharType="separate"/>
        </w:r>
        <w:r w:rsidR="00954A9A">
          <w:rPr>
            <w:rFonts w:cs="Arabic Transparent"/>
            <w:noProof/>
            <w:sz w:val="28"/>
            <w:szCs w:val="28"/>
            <w:rtl/>
          </w:rPr>
          <w:t>153</w:t>
        </w:r>
        <w:r w:rsidR="00A23055" w:rsidRPr="00FA27C9">
          <w:rPr>
            <w:rFonts w:cs="Arabic Transparent"/>
            <w:sz w:val="28"/>
            <w:szCs w:val="28"/>
          </w:rPr>
          <w:fldChar w:fldCharType="end"/>
        </w:r>
        <w:r>
          <w:rPr>
            <w:rFonts w:cs="Arabic Transparent" w:hint="cs"/>
            <w:sz w:val="28"/>
            <w:szCs w:val="28"/>
            <w:rtl/>
          </w:rPr>
          <w:t>-</w:t>
        </w:r>
      </w:sdtContent>
    </w:sdt>
  </w:p>
  <w:p w:rsidR="00F45136" w:rsidRDefault="00F45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660"/>
    <w:multiLevelType w:val="hybridMultilevel"/>
    <w:tmpl w:val="55A072F8"/>
    <w:lvl w:ilvl="0" w:tplc="78C0BF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E97"/>
    <w:multiLevelType w:val="hybridMultilevel"/>
    <w:tmpl w:val="A1C4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16824"/>
    <w:multiLevelType w:val="hybridMultilevel"/>
    <w:tmpl w:val="05FE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A36CD"/>
    <w:multiLevelType w:val="hybridMultilevel"/>
    <w:tmpl w:val="090A4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785E"/>
    <w:multiLevelType w:val="hybridMultilevel"/>
    <w:tmpl w:val="2372396E"/>
    <w:lvl w:ilvl="0" w:tplc="040C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A41E8"/>
    <w:multiLevelType w:val="hybridMultilevel"/>
    <w:tmpl w:val="A71E9A78"/>
    <w:lvl w:ilvl="0" w:tplc="8C2040AA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62FA"/>
    <w:multiLevelType w:val="hybridMultilevel"/>
    <w:tmpl w:val="B2029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51543"/>
    <w:multiLevelType w:val="hybridMultilevel"/>
    <w:tmpl w:val="7BAE3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535B7"/>
    <w:multiLevelType w:val="hybridMultilevel"/>
    <w:tmpl w:val="A04E80D2"/>
    <w:lvl w:ilvl="0" w:tplc="D71839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E1FF1"/>
    <w:multiLevelType w:val="hybridMultilevel"/>
    <w:tmpl w:val="B37E80F0"/>
    <w:lvl w:ilvl="0" w:tplc="ED2C45A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0D26F1"/>
    <w:multiLevelType w:val="hybridMultilevel"/>
    <w:tmpl w:val="52EC9154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136"/>
    <w:rsid w:val="00011CE6"/>
    <w:rsid w:val="0002645E"/>
    <w:rsid w:val="00074D47"/>
    <w:rsid w:val="0008409D"/>
    <w:rsid w:val="00094E7A"/>
    <w:rsid w:val="000A6F10"/>
    <w:rsid w:val="001E01E8"/>
    <w:rsid w:val="001F6EEE"/>
    <w:rsid w:val="00247547"/>
    <w:rsid w:val="002A4082"/>
    <w:rsid w:val="002B6FF0"/>
    <w:rsid w:val="002D2AA4"/>
    <w:rsid w:val="00315AE3"/>
    <w:rsid w:val="003A5AAF"/>
    <w:rsid w:val="003F3825"/>
    <w:rsid w:val="004467AD"/>
    <w:rsid w:val="00455F6C"/>
    <w:rsid w:val="004D7BF3"/>
    <w:rsid w:val="00536FB3"/>
    <w:rsid w:val="005B1A8E"/>
    <w:rsid w:val="005B461C"/>
    <w:rsid w:val="00836772"/>
    <w:rsid w:val="00954A9A"/>
    <w:rsid w:val="00966A70"/>
    <w:rsid w:val="00A22212"/>
    <w:rsid w:val="00A23055"/>
    <w:rsid w:val="00B810CD"/>
    <w:rsid w:val="00BB7306"/>
    <w:rsid w:val="00BC3CF0"/>
    <w:rsid w:val="00CD7721"/>
    <w:rsid w:val="00E013FD"/>
    <w:rsid w:val="00E1758D"/>
    <w:rsid w:val="00E5395E"/>
    <w:rsid w:val="00F147F5"/>
    <w:rsid w:val="00F45136"/>
    <w:rsid w:val="00F55D14"/>
    <w:rsid w:val="00FA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36"/>
    <w:pPr>
      <w:bidi/>
      <w:jc w:val="left"/>
    </w:pPr>
    <w:rPr>
      <w:rFonts w:ascii="Times New Roman" w:eastAsia="Times New Roman" w:hAnsi="Times New Roman" w:cs="Traditional Arabic"/>
      <w:sz w:val="20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F45136"/>
    <w:pPr>
      <w:keepNext/>
      <w:keepLines/>
      <w:spacing w:after="360"/>
      <w:ind w:left="74"/>
      <w:jc w:val="center"/>
      <w:outlineLvl w:val="0"/>
    </w:pPr>
    <w:rPr>
      <w:rFonts w:cs="Arabic Transparent"/>
      <w:b/>
      <w:bCs/>
      <w:sz w:val="40"/>
      <w:szCs w:val="40"/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136"/>
    <w:rPr>
      <w:rFonts w:ascii="Times New Roman" w:eastAsia="Times New Roman" w:hAnsi="Times New Roman" w:cs="Arabic Transparent"/>
      <w:b/>
      <w:bCs/>
      <w:sz w:val="40"/>
      <w:szCs w:val="40"/>
      <w:lang w:val="fr-FR" w:eastAsia="fr-FR" w:bidi="ar-TN"/>
    </w:rPr>
  </w:style>
  <w:style w:type="paragraph" w:styleId="FootnoteText">
    <w:name w:val="footnote text"/>
    <w:basedOn w:val="Normal"/>
    <w:link w:val="FootnoteTextChar"/>
    <w:qFormat/>
    <w:rsid w:val="00F45136"/>
  </w:style>
  <w:style w:type="character" w:customStyle="1" w:styleId="FootnoteTextChar">
    <w:name w:val="Footnote Text Char"/>
    <w:basedOn w:val="DefaultParagraphFont"/>
    <w:link w:val="FootnoteText"/>
    <w:rsid w:val="00F45136"/>
    <w:rPr>
      <w:rFonts w:ascii="Times New Roman" w:eastAsia="Times New Roman" w:hAnsi="Times New Roman" w:cs="Traditional Arabic"/>
      <w:sz w:val="20"/>
      <w:szCs w:val="24"/>
      <w:lang w:val="fr-FR" w:eastAsia="fr-FR"/>
    </w:rPr>
  </w:style>
  <w:style w:type="character" w:styleId="PageNumber">
    <w:name w:val="page number"/>
    <w:basedOn w:val="DefaultParagraphFont"/>
    <w:rsid w:val="00F45136"/>
  </w:style>
  <w:style w:type="paragraph" w:styleId="Header">
    <w:name w:val="header"/>
    <w:basedOn w:val="Normal"/>
    <w:link w:val="HeaderChar"/>
    <w:uiPriority w:val="99"/>
    <w:rsid w:val="00F451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136"/>
    <w:rPr>
      <w:rFonts w:ascii="Times New Roman" w:eastAsia="Times New Roman" w:hAnsi="Times New Roman" w:cs="Traditional Arabic"/>
      <w:sz w:val="20"/>
      <w:szCs w:val="24"/>
      <w:lang w:val="fr-FR" w:eastAsia="fr-FR"/>
    </w:rPr>
  </w:style>
  <w:style w:type="character" w:styleId="Hyperlink">
    <w:name w:val="Hyperlink"/>
    <w:uiPriority w:val="99"/>
    <w:rsid w:val="00F451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5136"/>
    <w:pPr>
      <w:bidi w:val="0"/>
      <w:ind w:left="720"/>
    </w:pPr>
    <w:rPr>
      <w:rFonts w:eastAsia="Calibri" w:cs="Times New Roman"/>
      <w:sz w:val="24"/>
    </w:rPr>
  </w:style>
  <w:style w:type="character" w:customStyle="1" w:styleId="shorttext">
    <w:name w:val="short_text"/>
    <w:basedOn w:val="DefaultParagraphFont"/>
    <w:rsid w:val="00F45136"/>
  </w:style>
  <w:style w:type="paragraph" w:styleId="Footer">
    <w:name w:val="footer"/>
    <w:basedOn w:val="Normal"/>
    <w:link w:val="FooterChar"/>
    <w:uiPriority w:val="99"/>
    <w:semiHidden/>
    <w:unhideWhenUsed/>
    <w:rsid w:val="00F45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136"/>
    <w:rPr>
      <w:rFonts w:ascii="Times New Roman" w:eastAsia="Times New Roman" w:hAnsi="Times New Roman" w:cs="Traditional Arabic"/>
      <w:sz w:val="20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irie.lextenso.com/documents/11162/investissements-etrangers-arbitrage-entre-etats?_ID=ID00006&amp;_URLAff=http%3A%2F%2Fwww.lextenso.fr%2Fassets&amp;_DivAff=pp%3D1%2C+wp%3D0" TargetMode="External"/><Relationship Id="rId13" Type="http://schemas.openxmlformats.org/officeDocument/2006/relationships/hyperlink" Target="http://www.state.gov" TargetMode="External"/><Relationship Id="rId18" Type="http://schemas.openxmlformats.org/officeDocument/2006/relationships/hyperlink" Target="http://www.unctad.org" TargetMode="External"/><Relationship Id="rId26" Type="http://schemas.openxmlformats.org/officeDocument/2006/relationships/hyperlink" Target="http://www.ococonsulting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nsnational-Dispute-Management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ibrairie.lextenso.com/auteur7598/?_ID=ID00006&amp;_URLAff=http%3A%2F%2Fwww.lextenso.fr%2Fassets&amp;_DivAff=pp%3D1%2C+wp%3D0" TargetMode="External"/><Relationship Id="rId12" Type="http://schemas.openxmlformats.org/officeDocument/2006/relationships/hyperlink" Target="http://ciel.org/Publications/BIT_Subcmte_Jan3004.pdf" TargetMode="External"/><Relationship Id="rId17" Type="http://schemas.openxmlformats.org/officeDocument/2006/relationships/hyperlink" Target="http://www.icsid.org" TargetMode="External"/><Relationship Id="rId25" Type="http://schemas.openxmlformats.org/officeDocument/2006/relationships/hyperlink" Target="http://www.unctad.org/fdistatistic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ga.org" TargetMode="External"/><Relationship Id="rId20" Type="http://schemas.openxmlformats.org/officeDocument/2006/relationships/hyperlink" Target="http://www.nafta-sec-alena.org" TargetMode="External"/><Relationship Id="rId29" Type="http://schemas.openxmlformats.org/officeDocument/2006/relationships/hyperlink" Target="http://www.iisd.org/investment/model/default_fr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ecd.org/document/55/0,2340,fr_2649_34863_35076717_1_1_1_1,00.html" TargetMode="External"/><Relationship Id="rId24" Type="http://schemas.openxmlformats.org/officeDocument/2006/relationships/hyperlink" Target="http://www.heritage.org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oecd.org" TargetMode="External"/><Relationship Id="rId23" Type="http://schemas.openxmlformats.org/officeDocument/2006/relationships/hyperlink" Target="http://www.worldbank.org/DoingBusiness" TargetMode="External"/><Relationship Id="rId28" Type="http://schemas.openxmlformats.org/officeDocument/2006/relationships/hyperlink" Target="http://www.menareport.com" TargetMode="External"/><Relationship Id="rId10" Type="http://schemas.openxmlformats.org/officeDocument/2006/relationships/hyperlink" Target="http://www.oecd.org" TargetMode="External"/><Relationship Id="rId19" Type="http://schemas.openxmlformats.org/officeDocument/2006/relationships/hyperlink" Target="http://www.unctad.org/en/docs/webdiaeia20096_en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blj.com" TargetMode="External"/><Relationship Id="rId14" Type="http://schemas.openxmlformats.org/officeDocument/2006/relationships/hyperlink" Target="http://www.asil.org" TargetMode="External"/><Relationship Id="rId22" Type="http://schemas.openxmlformats.org/officeDocument/2006/relationships/hyperlink" Target="http://www.dfait-maeci.gc.ca/tna-nac/NAFTA-Interpr-en.asp" TargetMode="External"/><Relationship Id="rId27" Type="http://schemas.openxmlformats.org/officeDocument/2006/relationships/hyperlink" Target="http://devdata.worldbank.org/edstats/cg.asp" TargetMode="External"/><Relationship Id="rId30" Type="http://schemas.openxmlformats.org/officeDocument/2006/relationships/hyperlink" Target="http://www.business-humanrights.org/Legal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1459</Words>
  <Characters>8317</Characters>
  <Application>Microsoft Office Word</Application>
  <DocSecurity>0</DocSecurity>
  <Lines>69</Lines>
  <Paragraphs>19</Paragraphs>
  <ScaleCrop>false</ScaleCrop>
  <Company>Your Company Name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2011-08-25T10:35:00Z</cp:lastPrinted>
  <dcterms:created xsi:type="dcterms:W3CDTF">2011-08-22T11:11:00Z</dcterms:created>
  <dcterms:modified xsi:type="dcterms:W3CDTF">2011-09-01T11:02:00Z</dcterms:modified>
</cp:coreProperties>
</file>