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C0" w:rsidRPr="00081E6B" w:rsidRDefault="00CD4CC0" w:rsidP="00CD4CC0">
      <w:pPr>
        <w:autoSpaceDE w:val="0"/>
        <w:autoSpaceDN w:val="0"/>
        <w:adjustRightInd w:val="0"/>
        <w:jc w:val="center"/>
        <w:rPr>
          <w:rFonts w:ascii="Garamond" w:hAnsi="Garamond" w:cs="Arial Narrow"/>
          <w:b/>
          <w:bCs/>
          <w:smallCaps/>
        </w:rPr>
      </w:pPr>
    </w:p>
    <w:p w:rsidR="00CD4CC0" w:rsidRDefault="00CD4CC0" w:rsidP="00CD4CC0">
      <w:pPr>
        <w:autoSpaceDE w:val="0"/>
        <w:autoSpaceDN w:val="0"/>
        <w:adjustRightInd w:val="0"/>
        <w:jc w:val="center"/>
        <w:rPr>
          <w:rFonts w:ascii="Garamond" w:hAnsi="Garamond" w:cs="Arial Narrow"/>
          <w:b/>
          <w:bCs/>
          <w:smallCaps/>
        </w:rPr>
      </w:pPr>
    </w:p>
    <w:p w:rsidR="00CD4CC0" w:rsidRDefault="00CD4CC0" w:rsidP="00CD4CC0">
      <w:pPr>
        <w:autoSpaceDE w:val="0"/>
        <w:autoSpaceDN w:val="0"/>
        <w:adjustRightInd w:val="0"/>
        <w:jc w:val="center"/>
        <w:rPr>
          <w:rFonts w:ascii="Garamond" w:hAnsi="Garamond" w:cs="Arial Narrow"/>
          <w:b/>
          <w:bCs/>
          <w:smallCaps/>
        </w:rPr>
      </w:pPr>
      <w:r>
        <w:rPr>
          <w:rFonts w:ascii="Garamond" w:hAnsi="Garamond" w:cs="Arial Narrow"/>
          <w:b/>
          <w:bCs/>
          <w:small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05pt;margin-top:8.25pt;width:90pt;height:81pt;z-index:251660288" filled="t">
            <v:fill r:id="rId7" o:title="White marble" type="tile"/>
            <v:imagedata r:id="rId8" o:title="" gain="61604f"/>
            <o:lock v:ext="edit" aspectratio="f"/>
            <w10:wrap type="square"/>
          </v:shape>
          <o:OLEObject Type="Embed" ProgID="MSPhotoEd.3" ShapeID="_x0000_s1026" DrawAspect="Content" ObjectID="_1422057419" r:id="rId9"/>
        </w:pict>
      </w:r>
    </w:p>
    <w:p w:rsidR="00CD4CC0" w:rsidRDefault="00CD4CC0" w:rsidP="00CD4CC0">
      <w:pPr>
        <w:autoSpaceDE w:val="0"/>
        <w:autoSpaceDN w:val="0"/>
        <w:adjustRightInd w:val="0"/>
        <w:jc w:val="center"/>
        <w:rPr>
          <w:rFonts w:ascii="Garamond" w:hAnsi="Garamond" w:cs="Arial Narrow"/>
          <w:b/>
          <w:bCs/>
          <w:smallCaps/>
        </w:rPr>
      </w:pPr>
    </w:p>
    <w:p w:rsidR="00CD4CC0" w:rsidRDefault="00CD4CC0" w:rsidP="00CD4CC0">
      <w:pPr>
        <w:autoSpaceDE w:val="0"/>
        <w:autoSpaceDN w:val="0"/>
        <w:adjustRightInd w:val="0"/>
        <w:jc w:val="center"/>
        <w:rPr>
          <w:rFonts w:ascii="Garamond" w:hAnsi="Garamond" w:cs="Arial Narrow"/>
          <w:b/>
          <w:bCs/>
          <w:smallCaps/>
        </w:rPr>
      </w:pPr>
    </w:p>
    <w:p w:rsidR="00CD4CC0" w:rsidRPr="00081E6B" w:rsidRDefault="00CD4CC0" w:rsidP="00CD4CC0">
      <w:pPr>
        <w:autoSpaceDE w:val="0"/>
        <w:autoSpaceDN w:val="0"/>
        <w:adjustRightInd w:val="0"/>
        <w:jc w:val="center"/>
        <w:rPr>
          <w:rFonts w:ascii="Garamond" w:hAnsi="Garamond" w:cs="Arial Narrow"/>
          <w:b/>
          <w:bCs/>
          <w:smallCaps/>
        </w:rPr>
      </w:pPr>
    </w:p>
    <w:p w:rsidR="00CD4CC0" w:rsidRPr="00081E6B" w:rsidRDefault="00CD4CC0" w:rsidP="00CD4CC0">
      <w:pPr>
        <w:autoSpaceDE w:val="0"/>
        <w:autoSpaceDN w:val="0"/>
        <w:adjustRightInd w:val="0"/>
        <w:rPr>
          <w:rFonts w:ascii="Garamond" w:hAnsi="Garamond"/>
          <w:b/>
          <w:bCs/>
          <w:smallCaps/>
        </w:rPr>
      </w:pPr>
    </w:p>
    <w:p w:rsidR="00CD4CC0" w:rsidRPr="00081E6B" w:rsidRDefault="00CD4CC0" w:rsidP="00CD4CC0">
      <w:pPr>
        <w:autoSpaceDE w:val="0"/>
        <w:autoSpaceDN w:val="0"/>
        <w:adjustRightInd w:val="0"/>
        <w:jc w:val="center"/>
        <w:rPr>
          <w:rFonts w:ascii="Garamond" w:hAnsi="Garamond"/>
          <w:smallCaps/>
        </w:rPr>
      </w:pPr>
      <w:r w:rsidRPr="00081E6B">
        <w:rPr>
          <w:rFonts w:ascii="Garamond" w:hAnsi="Garamond"/>
          <w:b/>
          <w:bCs/>
          <w:smallCaps/>
        </w:rPr>
        <w:t xml:space="preserve">Session de Formation à </w:t>
      </w:r>
      <w:smartTag w:uri="urn:schemas-microsoft-com:office:smarttags" w:element="PersonName">
        <w:smartTagPr>
          <w:attr w:name="ProductID" w:val="LA NEGOCIATION D"/>
        </w:smartTagPr>
        <w:r w:rsidRPr="00081E6B">
          <w:rPr>
            <w:rFonts w:ascii="Garamond" w:hAnsi="Garamond"/>
            <w:b/>
            <w:bCs/>
            <w:smallCaps/>
          </w:rPr>
          <w:t>la Négociation d</w:t>
        </w:r>
      </w:smartTag>
      <w:r w:rsidRPr="00081E6B">
        <w:rPr>
          <w:rFonts w:ascii="Garamond" w:hAnsi="Garamond"/>
          <w:b/>
          <w:bCs/>
          <w:smallCaps/>
        </w:rPr>
        <w:t xml:space="preserve">’Accords Internationaux d’Investissement pour </w:t>
      </w:r>
      <w:r>
        <w:rPr>
          <w:rFonts w:ascii="Garamond" w:hAnsi="Garamond"/>
          <w:b/>
          <w:bCs/>
          <w:smallCaps/>
        </w:rPr>
        <w:t>la Tunisie</w:t>
      </w:r>
    </w:p>
    <w:p w:rsidR="00CD4CC0" w:rsidRPr="00081E6B" w:rsidRDefault="00CD4CC0" w:rsidP="00CD4CC0">
      <w:pPr>
        <w:jc w:val="both"/>
        <w:rPr>
          <w:rFonts w:ascii="Garamond" w:hAnsi="Garamond"/>
        </w:rPr>
      </w:pPr>
    </w:p>
    <w:p w:rsidR="00CD4CC0" w:rsidRDefault="00CD4CC0" w:rsidP="00B2134D">
      <w:pPr>
        <w:autoSpaceDE w:val="0"/>
        <w:autoSpaceDN w:val="0"/>
        <w:adjustRightInd w:val="0"/>
        <w:spacing w:after="0" w:line="240" w:lineRule="auto"/>
        <w:jc w:val="center"/>
        <w:rPr>
          <w:rFonts w:ascii="Times New Roman" w:hAnsi="Times New Roman" w:cs="Times New Roman"/>
          <w:b/>
          <w:bCs/>
          <w:sz w:val="24"/>
          <w:szCs w:val="24"/>
        </w:rPr>
      </w:pPr>
    </w:p>
    <w:p w:rsidR="00CD4CC0" w:rsidRDefault="00CD4CC0" w:rsidP="00B2134D">
      <w:pPr>
        <w:autoSpaceDE w:val="0"/>
        <w:autoSpaceDN w:val="0"/>
        <w:adjustRightInd w:val="0"/>
        <w:spacing w:after="0" w:line="240" w:lineRule="auto"/>
        <w:jc w:val="center"/>
        <w:rPr>
          <w:rFonts w:ascii="Times New Roman" w:hAnsi="Times New Roman" w:cs="Times New Roman"/>
          <w:b/>
          <w:bCs/>
          <w:sz w:val="24"/>
          <w:szCs w:val="24"/>
        </w:rPr>
      </w:pPr>
    </w:p>
    <w:p w:rsidR="00CD4CC0" w:rsidRDefault="00CD4CC0" w:rsidP="00B2134D">
      <w:pPr>
        <w:autoSpaceDE w:val="0"/>
        <w:autoSpaceDN w:val="0"/>
        <w:adjustRightInd w:val="0"/>
        <w:spacing w:after="0" w:line="240" w:lineRule="auto"/>
        <w:jc w:val="center"/>
        <w:rPr>
          <w:rFonts w:ascii="Times New Roman" w:hAnsi="Times New Roman" w:cs="Times New Roman"/>
          <w:b/>
          <w:bCs/>
          <w:sz w:val="24"/>
          <w:szCs w:val="24"/>
        </w:rPr>
      </w:pPr>
    </w:p>
    <w:p w:rsidR="005273ED" w:rsidRPr="00575CF1" w:rsidRDefault="005273ED" w:rsidP="00B213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L’arbitrage et le nouveau contexte politique en</w:t>
      </w:r>
      <w:r w:rsidRPr="00575CF1">
        <w:rPr>
          <w:rFonts w:ascii="Times New Roman" w:hAnsi="Times New Roman" w:cs="Times New Roman"/>
          <w:b/>
          <w:bCs/>
          <w:sz w:val="24"/>
          <w:szCs w:val="24"/>
        </w:rPr>
        <w:t xml:space="preserve"> Tunisie</w:t>
      </w:r>
    </w:p>
    <w:p w:rsidR="005273ED" w:rsidRDefault="005273ED" w:rsidP="00B2134D">
      <w:pPr>
        <w:spacing w:after="0" w:line="240" w:lineRule="auto"/>
        <w:jc w:val="center"/>
        <w:rPr>
          <w:rFonts w:ascii="Times New Roman" w:hAnsi="Times New Roman" w:cs="Times New Roman"/>
          <w:sz w:val="24"/>
          <w:szCs w:val="24"/>
        </w:rPr>
      </w:pPr>
    </w:p>
    <w:p w:rsidR="005273ED" w:rsidRPr="00575CF1" w:rsidRDefault="005273ED" w:rsidP="00B2134D">
      <w:pPr>
        <w:spacing w:after="0" w:line="240" w:lineRule="auto"/>
        <w:jc w:val="center"/>
        <w:rPr>
          <w:rFonts w:ascii="Times New Roman" w:hAnsi="Times New Roman" w:cs="Times New Roman"/>
          <w:sz w:val="24"/>
          <w:szCs w:val="24"/>
        </w:rPr>
      </w:pPr>
      <w:r w:rsidRPr="00575CF1">
        <w:rPr>
          <w:rFonts w:ascii="Times New Roman" w:hAnsi="Times New Roman" w:cs="Times New Roman"/>
          <w:sz w:val="24"/>
          <w:szCs w:val="24"/>
        </w:rPr>
        <w:t xml:space="preserve">Par Walid </w:t>
      </w:r>
      <w:r>
        <w:rPr>
          <w:rFonts w:ascii="Times New Roman" w:hAnsi="Times New Roman" w:cs="Times New Roman"/>
          <w:sz w:val="24"/>
          <w:szCs w:val="24"/>
        </w:rPr>
        <w:t>BEN HAMIDA</w:t>
      </w:r>
    </w:p>
    <w:p w:rsidR="005273ED" w:rsidRDefault="005273ED" w:rsidP="00CD4CC0">
      <w:pPr>
        <w:spacing w:after="0" w:line="240" w:lineRule="auto"/>
        <w:jc w:val="center"/>
        <w:rPr>
          <w:rFonts w:ascii="Times New Roman" w:hAnsi="Times New Roman" w:cs="Times New Roman"/>
          <w:sz w:val="24"/>
          <w:szCs w:val="24"/>
        </w:rPr>
      </w:pPr>
      <w:r w:rsidRPr="00575CF1">
        <w:rPr>
          <w:rFonts w:ascii="Times New Roman" w:hAnsi="Times New Roman" w:cs="Times New Roman"/>
          <w:sz w:val="24"/>
          <w:szCs w:val="24"/>
        </w:rPr>
        <w:t xml:space="preserve">Maître de conférences </w:t>
      </w:r>
      <w:r>
        <w:rPr>
          <w:rFonts w:ascii="Times New Roman" w:hAnsi="Times New Roman" w:cs="Times New Roman"/>
          <w:sz w:val="24"/>
          <w:szCs w:val="24"/>
        </w:rPr>
        <w:t xml:space="preserve">en Droit </w:t>
      </w:r>
      <w:r w:rsidRPr="00575CF1">
        <w:rPr>
          <w:rFonts w:ascii="Times New Roman" w:hAnsi="Times New Roman" w:cs="Times New Roman"/>
          <w:sz w:val="24"/>
          <w:szCs w:val="24"/>
        </w:rPr>
        <w:t>à l’Université d’Evry</w:t>
      </w:r>
      <w:r>
        <w:rPr>
          <w:rFonts w:ascii="Times New Roman" w:hAnsi="Times New Roman" w:cs="Times New Roman"/>
          <w:sz w:val="24"/>
          <w:szCs w:val="24"/>
        </w:rPr>
        <w:t xml:space="preserve"> Val d’Essonne.</w:t>
      </w:r>
    </w:p>
    <w:p w:rsidR="005273ED" w:rsidRPr="00575CF1" w:rsidRDefault="005273ED" w:rsidP="00B2134D">
      <w:pPr>
        <w:spacing w:after="0" w:line="240" w:lineRule="auto"/>
        <w:jc w:val="center"/>
        <w:rPr>
          <w:rFonts w:ascii="Times New Roman" w:hAnsi="Times New Roman" w:cs="Times New Roman"/>
          <w:sz w:val="24"/>
          <w:szCs w:val="24"/>
        </w:rPr>
      </w:pPr>
    </w:p>
    <w:p w:rsidR="005273ED" w:rsidRPr="00575CF1" w:rsidRDefault="005273ED" w:rsidP="00B2134D">
      <w:pPr>
        <w:spacing w:after="0" w:line="240" w:lineRule="auto"/>
        <w:rPr>
          <w:rFonts w:ascii="Times New Roman" w:hAnsi="Times New Roman" w:cs="Times New Roman"/>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smartTag w:uri="urn:schemas-microsoft-com:office:smarttags" w:element="PersonName">
        <w:smartTagPr>
          <w:attr w:name="ProductID" w:val="La Tunisie"/>
        </w:smartTagPr>
        <w:r w:rsidRPr="00575CF1">
          <w:rPr>
            <w:rFonts w:ascii="Times New Roman" w:hAnsi="Times New Roman" w:cs="Times New Roman"/>
            <w:sz w:val="24"/>
            <w:szCs w:val="24"/>
          </w:rPr>
          <w:t>La Tunisie</w:t>
        </w:r>
      </w:smartTag>
      <w:r w:rsidRPr="00575CF1">
        <w:rPr>
          <w:rFonts w:ascii="Times New Roman" w:hAnsi="Times New Roman" w:cs="Times New Roman"/>
          <w:sz w:val="24"/>
          <w:szCs w:val="24"/>
        </w:rPr>
        <w:t xml:space="preserve"> a connu le 14 janvier dernier une révolution qui </w:t>
      </w:r>
      <w:r>
        <w:rPr>
          <w:rFonts w:ascii="Times New Roman" w:hAnsi="Times New Roman" w:cs="Times New Roman"/>
          <w:sz w:val="24"/>
          <w:szCs w:val="24"/>
        </w:rPr>
        <w:t xml:space="preserve">a </w:t>
      </w:r>
      <w:r w:rsidRPr="00575CF1">
        <w:rPr>
          <w:rFonts w:ascii="Times New Roman" w:hAnsi="Times New Roman" w:cs="Times New Roman"/>
          <w:sz w:val="24"/>
          <w:szCs w:val="24"/>
        </w:rPr>
        <w:t>entrainé un changement du régime politique en place. Quel est l’effet de ce nouveau contexte politique sur l’arbitrage ?</w:t>
      </w:r>
    </w:p>
    <w:p w:rsidR="005273ED" w:rsidRDefault="005273ED" w:rsidP="003A5A38">
      <w:pPr>
        <w:spacing w:after="0" w:line="240" w:lineRule="auto"/>
        <w:jc w:val="both"/>
        <w:rPr>
          <w:rFonts w:ascii="Times New Roman" w:hAnsi="Times New Roman" w:cs="Times New Roman"/>
          <w:sz w:val="24"/>
          <w:szCs w:val="24"/>
        </w:rPr>
      </w:pPr>
    </w:p>
    <w:p w:rsidR="005273ED" w:rsidRDefault="005273ED" w:rsidP="003A5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convient pour répondre à cette question de distinguer entre arbitrage relatif aux investissements et arbitrage commercial traditionnel ou de droit commun.</w:t>
      </w:r>
    </w:p>
    <w:p w:rsidR="005273ED" w:rsidRDefault="005273ED" w:rsidP="003A5A38">
      <w:pPr>
        <w:spacing w:after="0" w:line="240" w:lineRule="auto"/>
        <w:jc w:val="both"/>
        <w:rPr>
          <w:rFonts w:ascii="Times New Roman" w:hAnsi="Times New Roman" w:cs="Times New Roman"/>
          <w:sz w:val="24"/>
          <w:szCs w:val="24"/>
        </w:rPr>
      </w:pPr>
    </w:p>
    <w:p w:rsidR="005273ED" w:rsidRDefault="005273ED" w:rsidP="00EF3403">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effet, </w:t>
      </w:r>
      <w:smartTag w:uri="urn:schemas-microsoft-com:office:smarttags" w:element="PersonName">
        <w:smartTagPr>
          <w:attr w:name="ProductID" w:val="La Tunisie"/>
        </w:smartTagPr>
        <w:r>
          <w:rPr>
            <w:rFonts w:ascii="Times New Roman" w:hAnsi="Times New Roman" w:cs="Times New Roman"/>
            <w:sz w:val="24"/>
            <w:szCs w:val="24"/>
          </w:rPr>
          <w:t xml:space="preserve">la </w:t>
        </w:r>
        <w:r w:rsidRPr="00575CF1">
          <w:rPr>
            <w:rFonts w:ascii="Times New Roman" w:hAnsi="Times New Roman" w:cs="Times New Roman"/>
            <w:sz w:val="24"/>
            <w:szCs w:val="24"/>
          </w:rPr>
          <w:t>Tunisie</w:t>
        </w:r>
      </w:smartTag>
      <w:r w:rsidRPr="00575CF1">
        <w:rPr>
          <w:rFonts w:ascii="Times New Roman" w:hAnsi="Times New Roman" w:cs="Times New Roman"/>
          <w:sz w:val="24"/>
          <w:szCs w:val="24"/>
        </w:rPr>
        <w:t xml:space="preserve"> a conclu plusieurs traités d’investissement offrant aux investisseurs la possibilité de recourir à l’arbitrage. Il s’agit de traité</w:t>
      </w:r>
      <w:r>
        <w:rPr>
          <w:rFonts w:ascii="Times New Roman" w:hAnsi="Times New Roman" w:cs="Times New Roman"/>
          <w:sz w:val="24"/>
          <w:szCs w:val="24"/>
        </w:rPr>
        <w:t>s</w:t>
      </w:r>
      <w:r w:rsidRPr="00575CF1">
        <w:rPr>
          <w:rFonts w:ascii="Times New Roman" w:hAnsi="Times New Roman" w:cs="Times New Roman"/>
          <w:sz w:val="24"/>
          <w:szCs w:val="24"/>
        </w:rPr>
        <w:t xml:space="preserve"> bilatéraux </w:t>
      </w:r>
      <w:r>
        <w:rPr>
          <w:rFonts w:ascii="Times New Roman" w:hAnsi="Times New Roman" w:cs="Times New Roman"/>
          <w:sz w:val="24"/>
          <w:szCs w:val="24"/>
        </w:rPr>
        <w:t xml:space="preserve">(TBI) </w:t>
      </w:r>
      <w:r w:rsidRPr="00575CF1">
        <w:rPr>
          <w:rFonts w:ascii="Times New Roman" w:hAnsi="Times New Roman" w:cs="Times New Roman"/>
          <w:sz w:val="24"/>
          <w:szCs w:val="24"/>
        </w:rPr>
        <w:t>connus mais aussi de traités multilatéraux moins connus</w:t>
      </w:r>
      <w:r>
        <w:rPr>
          <w:rFonts w:ascii="Times New Roman" w:hAnsi="Times New Roman" w:cs="Times New Roman"/>
          <w:sz w:val="24"/>
          <w:szCs w:val="24"/>
        </w:rPr>
        <w:t>,</w:t>
      </w:r>
      <w:r w:rsidRPr="00575CF1">
        <w:rPr>
          <w:rFonts w:ascii="Times New Roman" w:hAnsi="Times New Roman" w:cs="Times New Roman"/>
          <w:sz w:val="24"/>
          <w:szCs w:val="24"/>
        </w:rPr>
        <w:t xml:space="preserve"> comme l’</w:t>
      </w:r>
      <w:r>
        <w:rPr>
          <w:rFonts w:ascii="Times New Roman" w:hAnsi="Times New Roman" w:cs="Times New Roman"/>
          <w:sz w:val="24"/>
          <w:szCs w:val="24"/>
        </w:rPr>
        <w:t>A</w:t>
      </w:r>
      <w:r w:rsidRPr="00575CF1">
        <w:rPr>
          <w:rFonts w:ascii="Times New Roman" w:hAnsi="Times New Roman" w:cs="Times New Roman"/>
          <w:sz w:val="24"/>
          <w:szCs w:val="24"/>
        </w:rPr>
        <w:t>ccord de la conférence islamique sur la protection des investissement</w:t>
      </w:r>
      <w:r>
        <w:rPr>
          <w:rFonts w:ascii="Times New Roman" w:hAnsi="Times New Roman" w:cs="Times New Roman"/>
          <w:sz w:val="24"/>
          <w:szCs w:val="24"/>
        </w:rPr>
        <w:t>s</w:t>
      </w:r>
      <w:r w:rsidRPr="00575CF1">
        <w:rPr>
          <w:rFonts w:ascii="Times New Roman" w:hAnsi="Times New Roman" w:cs="Times New Roman"/>
          <w:sz w:val="24"/>
          <w:szCs w:val="24"/>
        </w:rPr>
        <w:t xml:space="preserve"> </w:t>
      </w:r>
      <w:r>
        <w:rPr>
          <w:rFonts w:ascii="Times New Roman" w:hAnsi="Times New Roman" w:cs="Times New Roman"/>
          <w:sz w:val="24"/>
          <w:szCs w:val="24"/>
        </w:rPr>
        <w:t xml:space="preserve">qui offre aux investisseurs des pays musulmans la possibilité de mettre en œuvre un arbitrage international </w:t>
      </w:r>
      <w:r w:rsidRPr="0067511E">
        <w:rPr>
          <w:rFonts w:ascii="Times New Roman" w:hAnsi="Times New Roman" w:cs="Times New Roman"/>
          <w:i/>
          <w:iCs/>
          <w:sz w:val="24"/>
          <w:szCs w:val="24"/>
        </w:rPr>
        <w:t>ad hoc</w:t>
      </w:r>
      <w:r>
        <w:rPr>
          <w:rFonts w:ascii="Times New Roman" w:hAnsi="Times New Roman" w:cs="Times New Roman"/>
          <w:sz w:val="24"/>
          <w:szCs w:val="24"/>
        </w:rPr>
        <w:t xml:space="preserve">, </w:t>
      </w:r>
      <w:r w:rsidRPr="00575CF1">
        <w:rPr>
          <w:rFonts w:ascii="Times New Roman" w:hAnsi="Times New Roman" w:cs="Times New Roman"/>
          <w:sz w:val="24"/>
          <w:szCs w:val="24"/>
        </w:rPr>
        <w:t>ou l’</w:t>
      </w:r>
      <w:r>
        <w:rPr>
          <w:rFonts w:ascii="Times New Roman" w:hAnsi="Times New Roman" w:cs="Times New Roman"/>
          <w:sz w:val="24"/>
          <w:szCs w:val="24"/>
        </w:rPr>
        <w:t>A</w:t>
      </w:r>
      <w:r w:rsidRPr="00575CF1">
        <w:rPr>
          <w:rFonts w:ascii="Times New Roman" w:hAnsi="Times New Roman" w:cs="Times New Roman"/>
          <w:sz w:val="24"/>
          <w:szCs w:val="24"/>
        </w:rPr>
        <w:t xml:space="preserve">ccord arabe </w:t>
      </w:r>
      <w:r>
        <w:rPr>
          <w:rFonts w:ascii="Times New Roman" w:hAnsi="Times New Roman" w:cs="Times New Roman"/>
          <w:sz w:val="24"/>
          <w:szCs w:val="24"/>
        </w:rPr>
        <w:t xml:space="preserve">d’investissement </w:t>
      </w:r>
      <w:r w:rsidRPr="00575CF1">
        <w:rPr>
          <w:rFonts w:ascii="Times New Roman" w:hAnsi="Times New Roman" w:cs="Times New Roman"/>
          <w:sz w:val="24"/>
          <w:szCs w:val="24"/>
        </w:rPr>
        <w:t xml:space="preserve">qui instaure une </w:t>
      </w:r>
      <w:r>
        <w:rPr>
          <w:rFonts w:ascii="Times New Roman" w:hAnsi="Times New Roman" w:cs="Times New Roman"/>
          <w:sz w:val="24"/>
          <w:szCs w:val="24"/>
        </w:rPr>
        <w:t>C</w:t>
      </w:r>
      <w:r w:rsidRPr="00575CF1">
        <w:rPr>
          <w:rFonts w:ascii="Times New Roman" w:hAnsi="Times New Roman" w:cs="Times New Roman"/>
          <w:sz w:val="24"/>
          <w:szCs w:val="24"/>
        </w:rPr>
        <w:t>our arabe d’investissement compétente pour régler les litiges relatifs aux investissements</w:t>
      </w:r>
      <w:r>
        <w:rPr>
          <w:rStyle w:val="Appelnotedebasdep"/>
          <w:rFonts w:ascii="Times New Roman" w:hAnsi="Times New Roman"/>
          <w:sz w:val="24"/>
          <w:szCs w:val="24"/>
        </w:rPr>
        <w:footnoteReference w:id="1"/>
      </w:r>
      <w:r w:rsidRPr="00575CF1">
        <w:rPr>
          <w:rFonts w:ascii="Times New Roman" w:hAnsi="Times New Roman" w:cs="Times New Roman"/>
          <w:sz w:val="24"/>
          <w:szCs w:val="24"/>
        </w:rPr>
        <w:t xml:space="preserve">. Au 1 juin 2011, </w:t>
      </w:r>
      <w:smartTag w:uri="urn:schemas-microsoft-com:office:smarttags" w:element="PersonName">
        <w:smartTagPr>
          <w:attr w:name="ProductID" w:val="La Tunisie"/>
        </w:smartTagPr>
        <w:r w:rsidRPr="00575CF1">
          <w:rPr>
            <w:rFonts w:ascii="Times New Roman" w:hAnsi="Times New Roman" w:cs="Times New Roman"/>
            <w:sz w:val="24"/>
            <w:szCs w:val="24"/>
          </w:rPr>
          <w:t>la Tunisie</w:t>
        </w:r>
      </w:smartTag>
      <w:r w:rsidRPr="00575CF1">
        <w:rPr>
          <w:rFonts w:ascii="Times New Roman" w:hAnsi="Times New Roman" w:cs="Times New Roman"/>
          <w:sz w:val="24"/>
          <w:szCs w:val="24"/>
        </w:rPr>
        <w:t xml:space="preserve"> a signé 54 TBI, 33 sont déjà en vigueur</w:t>
      </w:r>
      <w:r w:rsidRPr="00575CF1">
        <w:rPr>
          <w:rStyle w:val="Appelnotedebasdep"/>
          <w:rFonts w:ascii="Times New Roman" w:hAnsi="Times New Roman"/>
          <w:sz w:val="24"/>
          <w:szCs w:val="24"/>
        </w:rPr>
        <w:footnoteReference w:id="2"/>
      </w:r>
      <w:r w:rsidRPr="00575CF1">
        <w:rPr>
          <w:rFonts w:ascii="Times New Roman" w:hAnsi="Times New Roman" w:cs="Times New Roman"/>
          <w:sz w:val="24"/>
          <w:szCs w:val="24"/>
        </w:rPr>
        <w:t>. De même jusqu’à 19</w:t>
      </w:r>
      <w:r>
        <w:rPr>
          <w:rFonts w:ascii="Times New Roman" w:hAnsi="Times New Roman" w:cs="Times New Roman"/>
          <w:sz w:val="24"/>
          <w:szCs w:val="24"/>
        </w:rPr>
        <w:t>93</w:t>
      </w:r>
      <w:r w:rsidRPr="00575CF1">
        <w:rPr>
          <w:rFonts w:ascii="Times New Roman" w:hAnsi="Times New Roman" w:cs="Times New Roman"/>
          <w:sz w:val="24"/>
          <w:szCs w:val="24"/>
        </w:rPr>
        <w:t xml:space="preserve">, la loi tunisienne, en l’espèce le code tunisien de l’investissement </w:t>
      </w:r>
      <w:r>
        <w:rPr>
          <w:rFonts w:ascii="Times New Roman" w:hAnsi="Times New Roman" w:cs="Times New Roman"/>
          <w:sz w:val="24"/>
          <w:szCs w:val="24"/>
        </w:rPr>
        <w:t xml:space="preserve">de </w:t>
      </w:r>
      <w:r w:rsidRPr="00575CF1">
        <w:rPr>
          <w:rFonts w:ascii="Times New Roman" w:hAnsi="Times New Roman" w:cs="Times New Roman"/>
          <w:sz w:val="24"/>
          <w:szCs w:val="24"/>
        </w:rPr>
        <w:t>1969</w:t>
      </w:r>
      <w:r>
        <w:rPr>
          <w:rFonts w:ascii="Times New Roman" w:hAnsi="Times New Roman" w:cs="Times New Roman"/>
          <w:sz w:val="24"/>
          <w:szCs w:val="24"/>
        </w:rPr>
        <w:t>,</w:t>
      </w:r>
      <w:r w:rsidRPr="00575CF1">
        <w:rPr>
          <w:rFonts w:ascii="Times New Roman" w:hAnsi="Times New Roman" w:cs="Times New Roman"/>
          <w:sz w:val="24"/>
          <w:szCs w:val="24"/>
        </w:rPr>
        <w:t xml:space="preserve"> contient un consentement unilatéral à l’arbitrage qui pouvait être invoqué par les investisseurs étrangers. L’abrogation de ce code et son remplacement par une loi exigeant une clause d’arbitrage </w:t>
      </w:r>
      <w:r>
        <w:rPr>
          <w:rFonts w:ascii="Times New Roman" w:hAnsi="Times New Roman" w:cs="Times New Roman"/>
          <w:sz w:val="24"/>
          <w:szCs w:val="24"/>
        </w:rPr>
        <w:t xml:space="preserve">contractuelle </w:t>
      </w:r>
      <w:r w:rsidRPr="00575CF1">
        <w:rPr>
          <w:rFonts w:ascii="Times New Roman" w:hAnsi="Times New Roman" w:cs="Times New Roman"/>
          <w:sz w:val="24"/>
          <w:szCs w:val="24"/>
        </w:rPr>
        <w:t xml:space="preserve">pour </w:t>
      </w:r>
      <w:r>
        <w:rPr>
          <w:rFonts w:ascii="Times New Roman" w:hAnsi="Times New Roman" w:cs="Times New Roman"/>
          <w:sz w:val="24"/>
          <w:szCs w:val="24"/>
        </w:rPr>
        <w:t xml:space="preserve">pouvoir engager une procédure arbitrale </w:t>
      </w:r>
      <w:r w:rsidRPr="00575CF1">
        <w:rPr>
          <w:rFonts w:ascii="Times New Roman" w:hAnsi="Times New Roman" w:cs="Times New Roman"/>
          <w:sz w:val="24"/>
          <w:szCs w:val="24"/>
        </w:rPr>
        <w:t xml:space="preserve">contre </w:t>
      </w:r>
      <w:smartTag w:uri="urn:schemas-microsoft-com:office:smarttags" w:element="PersonName">
        <w:smartTagPr>
          <w:attr w:name="ProductID" w:val="La Tunisie"/>
        </w:smartTagPr>
        <w:r w:rsidRPr="00575CF1">
          <w:rPr>
            <w:rFonts w:ascii="Times New Roman" w:hAnsi="Times New Roman" w:cs="Times New Roman"/>
            <w:sz w:val="24"/>
            <w:szCs w:val="24"/>
          </w:rPr>
          <w:t>la Tunisie</w:t>
        </w:r>
      </w:smartTag>
      <w:r w:rsidRPr="00575CF1">
        <w:rPr>
          <w:rFonts w:ascii="Times New Roman" w:hAnsi="Times New Roman" w:cs="Times New Roman"/>
          <w:sz w:val="24"/>
          <w:szCs w:val="24"/>
        </w:rPr>
        <w:t xml:space="preserve"> ne signifie pas que ce consentement unilatéral n’est </w:t>
      </w:r>
      <w:r>
        <w:rPr>
          <w:rFonts w:ascii="Times New Roman" w:hAnsi="Times New Roman" w:cs="Times New Roman"/>
          <w:sz w:val="24"/>
          <w:szCs w:val="24"/>
        </w:rPr>
        <w:t>plus</w:t>
      </w:r>
      <w:r w:rsidRPr="00575CF1">
        <w:rPr>
          <w:rFonts w:ascii="Times New Roman" w:hAnsi="Times New Roman" w:cs="Times New Roman"/>
          <w:sz w:val="24"/>
          <w:szCs w:val="24"/>
        </w:rPr>
        <w:t xml:space="preserve"> opérationnel aujourd’hui. En effet, dans une décision arbitrale récente rendue par le CIRDI contre </w:t>
      </w:r>
      <w:smartTag w:uri="urn:schemas-microsoft-com:office:smarttags" w:element="PersonName">
        <w:smartTagPr>
          <w:attr w:name="ProductID" w:val="La Tunisie"/>
        </w:smartTagPr>
        <w:r w:rsidRPr="00575CF1">
          <w:rPr>
            <w:rFonts w:ascii="Times New Roman" w:hAnsi="Times New Roman" w:cs="Times New Roman"/>
            <w:sz w:val="24"/>
            <w:szCs w:val="24"/>
          </w:rPr>
          <w:t>la Tunisie</w:t>
        </w:r>
      </w:smartTag>
      <w:r w:rsidRPr="00575CF1">
        <w:rPr>
          <w:rFonts w:ascii="Times New Roman" w:hAnsi="Times New Roman" w:cs="Times New Roman"/>
          <w:sz w:val="24"/>
          <w:szCs w:val="24"/>
        </w:rPr>
        <w:t xml:space="preserve">, </w:t>
      </w:r>
      <w:r>
        <w:rPr>
          <w:rFonts w:ascii="Times New Roman" w:hAnsi="Times New Roman" w:cs="Times New Roman"/>
          <w:sz w:val="24"/>
          <w:szCs w:val="24"/>
        </w:rPr>
        <w:t>un</w:t>
      </w:r>
      <w:r w:rsidRPr="00575CF1">
        <w:rPr>
          <w:rFonts w:ascii="Times New Roman" w:hAnsi="Times New Roman" w:cs="Times New Roman"/>
          <w:sz w:val="24"/>
          <w:szCs w:val="24"/>
        </w:rPr>
        <w:t xml:space="preserve"> tribunal </w:t>
      </w:r>
      <w:r w:rsidRPr="00575CF1">
        <w:rPr>
          <w:rFonts w:ascii="Times New Roman" w:hAnsi="Times New Roman" w:cs="Times New Roman"/>
          <w:sz w:val="24"/>
          <w:szCs w:val="24"/>
        </w:rPr>
        <w:lastRenderedPageBreak/>
        <w:t xml:space="preserve">arbitral a souligné que si l’investissement </w:t>
      </w:r>
      <w:r>
        <w:rPr>
          <w:rFonts w:ascii="Times New Roman" w:hAnsi="Times New Roman" w:cs="Times New Roman"/>
          <w:sz w:val="24"/>
          <w:szCs w:val="24"/>
        </w:rPr>
        <w:t>était</w:t>
      </w:r>
      <w:r w:rsidRPr="00575CF1">
        <w:rPr>
          <w:rFonts w:ascii="Times New Roman" w:hAnsi="Times New Roman" w:cs="Times New Roman"/>
          <w:sz w:val="24"/>
          <w:szCs w:val="24"/>
        </w:rPr>
        <w:t xml:space="preserve"> réalisé sous l’empire du code de 1969, il continue à bénéficier de l’offre </w:t>
      </w:r>
      <w:r>
        <w:rPr>
          <w:rFonts w:ascii="Times New Roman" w:hAnsi="Times New Roman" w:cs="Times New Roman"/>
          <w:sz w:val="24"/>
          <w:szCs w:val="24"/>
        </w:rPr>
        <w:t xml:space="preserve">législative </w:t>
      </w:r>
      <w:r w:rsidRPr="00575CF1">
        <w:rPr>
          <w:rFonts w:ascii="Times New Roman" w:hAnsi="Times New Roman" w:cs="Times New Roman"/>
          <w:sz w:val="24"/>
          <w:szCs w:val="24"/>
        </w:rPr>
        <w:t>d’arbitrage en dépit de l’abrogation de ce code</w:t>
      </w:r>
      <w:r>
        <w:rPr>
          <w:rStyle w:val="Appelnotedebasdep"/>
          <w:rFonts w:ascii="Times New Roman" w:hAnsi="Times New Roman"/>
          <w:sz w:val="24"/>
          <w:szCs w:val="24"/>
        </w:rPr>
        <w:footnoteReference w:id="3"/>
      </w:r>
      <w:r w:rsidRPr="00575CF1">
        <w:rPr>
          <w:rFonts w:ascii="Times New Roman" w:hAnsi="Times New Roman" w:cs="Times New Roman"/>
          <w:sz w:val="24"/>
          <w:szCs w:val="24"/>
        </w:rPr>
        <w:t xml:space="preserve">. </w:t>
      </w:r>
      <w:r>
        <w:rPr>
          <w:rFonts w:ascii="Times New Roman" w:hAnsi="Times New Roman" w:cs="Times New Roman"/>
          <w:sz w:val="24"/>
          <w:szCs w:val="24"/>
        </w:rPr>
        <w:t xml:space="preserve">La première question qui se pose est de savoir si les événements récemment constatés en Tunisie vont inciter les investisseurs étrangers à invoquer ces offres d’arbitrage exprimées dans les instruments conventionnels et législatifs. </w:t>
      </w:r>
    </w:p>
    <w:p w:rsidR="005273ED" w:rsidRDefault="005273ED" w:rsidP="003A5A38">
      <w:pPr>
        <w:spacing w:after="0" w:line="240" w:lineRule="auto"/>
        <w:jc w:val="both"/>
        <w:rPr>
          <w:rFonts w:ascii="Times New Roman" w:hAnsi="Times New Roman" w:cs="Times New Roman"/>
          <w:sz w:val="24"/>
          <w:szCs w:val="24"/>
        </w:rPr>
      </w:pPr>
    </w:p>
    <w:p w:rsidR="005273ED" w:rsidRDefault="005273ED" w:rsidP="0060031F">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outre, </w:t>
      </w:r>
      <w:r w:rsidRPr="00575CF1">
        <w:rPr>
          <w:rFonts w:ascii="Times New Roman" w:hAnsi="Times New Roman" w:cs="Times New Roman"/>
          <w:sz w:val="24"/>
          <w:szCs w:val="24"/>
        </w:rPr>
        <w:t>l’instauration d’une démocratie en Tunisie et d’un Etat de droit amélior</w:t>
      </w:r>
      <w:r>
        <w:rPr>
          <w:rFonts w:ascii="Times New Roman" w:hAnsi="Times New Roman" w:cs="Times New Roman"/>
          <w:sz w:val="24"/>
          <w:szCs w:val="24"/>
        </w:rPr>
        <w:t>er</w:t>
      </w:r>
      <w:r w:rsidRPr="00575CF1">
        <w:rPr>
          <w:rFonts w:ascii="Times New Roman" w:hAnsi="Times New Roman" w:cs="Times New Roman"/>
          <w:sz w:val="24"/>
          <w:szCs w:val="24"/>
        </w:rPr>
        <w:t>a le cadre général des affaires dans ce pays. Les organisations internationales (</w:t>
      </w:r>
      <w:proofErr w:type="spellStart"/>
      <w:r>
        <w:rPr>
          <w:rFonts w:ascii="Times New Roman" w:hAnsi="Times New Roman" w:cs="Times New Roman"/>
          <w:sz w:val="24"/>
          <w:szCs w:val="24"/>
        </w:rPr>
        <w:t>T</w:t>
      </w:r>
      <w:r w:rsidRPr="00575CF1">
        <w:rPr>
          <w:rFonts w:ascii="Times New Roman" w:hAnsi="Times New Roman" w:cs="Times New Roman"/>
          <w:sz w:val="24"/>
          <w:szCs w:val="24"/>
        </w:rPr>
        <w:t>ransparency</w:t>
      </w:r>
      <w:proofErr w:type="spellEnd"/>
      <w:r>
        <w:rPr>
          <w:rFonts w:ascii="Times New Roman" w:hAnsi="Times New Roman" w:cs="Times New Roman"/>
          <w:sz w:val="24"/>
          <w:szCs w:val="24"/>
        </w:rPr>
        <w:t xml:space="preserve"> international</w:t>
      </w:r>
      <w:r w:rsidRPr="00575CF1">
        <w:rPr>
          <w:rFonts w:ascii="Times New Roman" w:hAnsi="Times New Roman" w:cs="Times New Roman"/>
          <w:sz w:val="24"/>
          <w:szCs w:val="24"/>
        </w:rPr>
        <w:t>, Banque mondiale), les agences de notation admettent que la corruption peut avoir des effets désastreux sur les économies. Le respect du droit, la démocratie et la justice sont des facteurs importants pour attirer les investissements et assainir l’environnement des affaires</w:t>
      </w:r>
      <w:r w:rsidRPr="00575CF1">
        <w:rPr>
          <w:rStyle w:val="Appelnotedebasdep"/>
          <w:rFonts w:ascii="Times New Roman" w:hAnsi="Times New Roman"/>
          <w:sz w:val="24"/>
          <w:szCs w:val="24"/>
        </w:rPr>
        <w:footnoteReference w:id="4"/>
      </w:r>
      <w:r>
        <w:rPr>
          <w:rFonts w:ascii="Times New Roman" w:hAnsi="Times New Roman" w:cs="Times New Roman"/>
          <w:sz w:val="24"/>
          <w:szCs w:val="24"/>
        </w:rPr>
        <w:t xml:space="preserve">. On souligne </w:t>
      </w:r>
      <w:r w:rsidRPr="00575CF1">
        <w:rPr>
          <w:rFonts w:ascii="Times New Roman" w:hAnsi="Times New Roman" w:cs="Times New Roman"/>
          <w:sz w:val="24"/>
          <w:szCs w:val="24"/>
        </w:rPr>
        <w:t>une gran</w:t>
      </w:r>
      <w:r>
        <w:rPr>
          <w:rFonts w:ascii="Times New Roman" w:hAnsi="Times New Roman" w:cs="Times New Roman"/>
          <w:sz w:val="24"/>
          <w:szCs w:val="24"/>
        </w:rPr>
        <w:t>de sympathie pour la révolution tunisienne</w:t>
      </w:r>
      <w:r w:rsidRPr="00575CF1">
        <w:rPr>
          <w:rFonts w:ascii="Times New Roman" w:hAnsi="Times New Roman" w:cs="Times New Roman"/>
          <w:sz w:val="24"/>
          <w:szCs w:val="24"/>
        </w:rPr>
        <w:t>. Les pouvoirs publics brandissent le slogan « </w:t>
      </w:r>
      <w:proofErr w:type="spellStart"/>
      <w:r w:rsidRPr="008E21F0">
        <w:rPr>
          <w:rFonts w:ascii="Times New Roman" w:hAnsi="Times New Roman" w:cs="Times New Roman"/>
          <w:i/>
          <w:iCs/>
          <w:sz w:val="24"/>
          <w:szCs w:val="24"/>
        </w:rPr>
        <w:t>invest</w:t>
      </w:r>
      <w:proofErr w:type="spellEnd"/>
      <w:r w:rsidRPr="008E21F0">
        <w:rPr>
          <w:rFonts w:ascii="Times New Roman" w:hAnsi="Times New Roman" w:cs="Times New Roman"/>
          <w:i/>
          <w:iCs/>
          <w:sz w:val="24"/>
          <w:szCs w:val="24"/>
        </w:rPr>
        <w:t xml:space="preserve"> in </w:t>
      </w:r>
      <w:proofErr w:type="spellStart"/>
      <w:r w:rsidRPr="008E21F0">
        <w:rPr>
          <w:rFonts w:ascii="Times New Roman" w:hAnsi="Times New Roman" w:cs="Times New Roman"/>
          <w:i/>
          <w:iCs/>
          <w:sz w:val="24"/>
          <w:szCs w:val="24"/>
        </w:rPr>
        <w:t>democracy</w:t>
      </w:r>
      <w:proofErr w:type="spellEnd"/>
      <w:r>
        <w:rPr>
          <w:rFonts w:ascii="Times New Roman" w:hAnsi="Times New Roman" w:cs="Times New Roman"/>
          <w:sz w:val="24"/>
          <w:szCs w:val="24"/>
        </w:rPr>
        <w:t xml:space="preserve"> ». </w:t>
      </w:r>
      <w:r w:rsidRPr="00575CF1">
        <w:rPr>
          <w:rFonts w:ascii="Times New Roman" w:hAnsi="Times New Roman" w:cs="Times New Roman"/>
          <w:sz w:val="24"/>
          <w:szCs w:val="24"/>
        </w:rPr>
        <w:t>Les financiers croient en un meilleur environnement d'affaires, plus transparent, avec plus de liberté d'investir</w:t>
      </w:r>
      <w:r w:rsidRPr="00575CF1">
        <w:rPr>
          <w:rStyle w:val="Appelnotedebasdep"/>
          <w:rFonts w:ascii="Times New Roman" w:hAnsi="Times New Roman"/>
          <w:sz w:val="24"/>
          <w:szCs w:val="24"/>
        </w:rPr>
        <w:footnoteReference w:id="5"/>
      </w:r>
      <w:r w:rsidRPr="00575C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CF1">
        <w:rPr>
          <w:rFonts w:ascii="Times New Roman" w:hAnsi="Times New Roman" w:cs="Times New Roman"/>
          <w:sz w:val="24"/>
          <w:szCs w:val="24"/>
        </w:rPr>
        <w:t>On espère donc que le nouveau contexte politique encourage certains investisseu</w:t>
      </w:r>
      <w:r>
        <w:rPr>
          <w:rFonts w:ascii="Times New Roman" w:hAnsi="Times New Roman" w:cs="Times New Roman"/>
          <w:sz w:val="24"/>
          <w:szCs w:val="24"/>
        </w:rPr>
        <w:t xml:space="preserve">rs à investir en Tunisie. On s’attend aussi au retour des investisseurs étrangers et nationaux qui ont quitté </w:t>
      </w:r>
      <w:smartTag w:uri="urn:schemas-microsoft-com:office:smarttags" w:element="PersonName">
        <w:smartTagPr>
          <w:attr w:name="ProductID" w:val="La Tunisie"/>
        </w:smartTagPr>
        <w:r>
          <w:rPr>
            <w:rFonts w:ascii="Times New Roman" w:hAnsi="Times New Roman" w:cs="Times New Roman"/>
            <w:sz w:val="24"/>
            <w:szCs w:val="24"/>
          </w:rPr>
          <w:t>la Tunisie</w:t>
        </w:r>
      </w:smartTag>
      <w:r>
        <w:rPr>
          <w:rFonts w:ascii="Times New Roman" w:hAnsi="Times New Roman" w:cs="Times New Roman"/>
          <w:sz w:val="24"/>
          <w:szCs w:val="24"/>
        </w:rPr>
        <w:t xml:space="preserve"> en raison des pressions ou de tracasserie avec le régime ancien</w:t>
      </w:r>
      <w:r w:rsidRPr="00575CF1">
        <w:rPr>
          <w:rFonts w:ascii="Times New Roman" w:hAnsi="Times New Roman" w:cs="Times New Roman"/>
          <w:sz w:val="24"/>
          <w:szCs w:val="24"/>
        </w:rPr>
        <w:t>. On remarque d’ailleurs un niveau record de missions de prospection et la participation de nouveaux venus russes, américains et asiatiques</w:t>
      </w:r>
      <w:r>
        <w:rPr>
          <w:rFonts w:ascii="Times New Roman" w:hAnsi="Times New Roman" w:cs="Times New Roman"/>
          <w:sz w:val="24"/>
          <w:szCs w:val="24"/>
        </w:rPr>
        <w:t xml:space="preserve"> au </w:t>
      </w:r>
      <w:proofErr w:type="spellStart"/>
      <w:r w:rsidRPr="008E21F0">
        <w:rPr>
          <w:rFonts w:ascii="Times New Roman" w:hAnsi="Times New Roman" w:cs="Times New Roman"/>
          <w:i/>
          <w:iCs/>
          <w:sz w:val="24"/>
          <w:szCs w:val="24"/>
        </w:rPr>
        <w:t>Tunisia</w:t>
      </w:r>
      <w:proofErr w:type="spellEnd"/>
      <w:r w:rsidRPr="008E21F0">
        <w:rPr>
          <w:rFonts w:ascii="Times New Roman" w:hAnsi="Times New Roman" w:cs="Times New Roman"/>
          <w:i/>
          <w:iCs/>
          <w:sz w:val="24"/>
          <w:szCs w:val="24"/>
        </w:rPr>
        <w:t xml:space="preserve"> </w:t>
      </w:r>
      <w:proofErr w:type="spellStart"/>
      <w:r w:rsidRPr="008E21F0">
        <w:rPr>
          <w:rFonts w:ascii="Times New Roman" w:hAnsi="Times New Roman" w:cs="Times New Roman"/>
          <w:i/>
          <w:iCs/>
          <w:sz w:val="24"/>
          <w:szCs w:val="24"/>
        </w:rPr>
        <w:t>Investment</w:t>
      </w:r>
      <w:proofErr w:type="spellEnd"/>
      <w:r w:rsidRPr="008E21F0">
        <w:rPr>
          <w:rFonts w:ascii="Times New Roman" w:hAnsi="Times New Roman" w:cs="Times New Roman"/>
          <w:i/>
          <w:iCs/>
          <w:sz w:val="24"/>
          <w:szCs w:val="24"/>
        </w:rPr>
        <w:t xml:space="preserve"> Forum</w:t>
      </w:r>
      <w:r w:rsidRPr="00575CF1">
        <w:rPr>
          <w:rFonts w:ascii="Times New Roman" w:hAnsi="Times New Roman" w:cs="Times New Roman"/>
          <w:sz w:val="24"/>
          <w:szCs w:val="24"/>
        </w:rPr>
        <w:t>, les 16 et 17 juin</w:t>
      </w:r>
      <w:r>
        <w:rPr>
          <w:rFonts w:ascii="Times New Roman" w:hAnsi="Times New Roman" w:cs="Times New Roman"/>
          <w:sz w:val="24"/>
          <w:szCs w:val="24"/>
        </w:rPr>
        <w:t xml:space="preserve"> 2011</w:t>
      </w:r>
      <w:r w:rsidRPr="00575CF1">
        <w:rPr>
          <w:rFonts w:ascii="Times New Roman" w:hAnsi="Times New Roman" w:cs="Times New Roman"/>
          <w:sz w:val="24"/>
          <w:szCs w:val="24"/>
        </w:rPr>
        <w:t xml:space="preserve">, à Carthage. </w:t>
      </w:r>
      <w:r>
        <w:rPr>
          <w:rFonts w:ascii="Times New Roman" w:hAnsi="Times New Roman" w:cs="Times New Roman"/>
          <w:sz w:val="24"/>
          <w:szCs w:val="24"/>
        </w:rPr>
        <w:t xml:space="preserve">Des contrats vont être conclus, des entreprises conjointes vont être constituées des nouveaux projets vont être lancés. </w:t>
      </w:r>
      <w:r w:rsidRPr="00575CF1">
        <w:rPr>
          <w:rFonts w:ascii="Times New Roman" w:hAnsi="Times New Roman" w:cs="Times New Roman"/>
          <w:sz w:val="24"/>
          <w:szCs w:val="24"/>
        </w:rPr>
        <w:t xml:space="preserve">La question qui se pose est de se voir si le droit de l’arbitrage commercial </w:t>
      </w:r>
      <w:r>
        <w:rPr>
          <w:rFonts w:ascii="Times New Roman" w:hAnsi="Times New Roman" w:cs="Times New Roman"/>
          <w:sz w:val="24"/>
          <w:szCs w:val="24"/>
        </w:rPr>
        <w:t>traditionnel</w:t>
      </w:r>
      <w:r w:rsidRPr="00575CF1">
        <w:rPr>
          <w:rFonts w:ascii="Times New Roman" w:hAnsi="Times New Roman" w:cs="Times New Roman"/>
          <w:sz w:val="24"/>
          <w:szCs w:val="24"/>
        </w:rPr>
        <w:t xml:space="preserve"> répond aux attentes des milieux d’affaires et propice </w:t>
      </w:r>
      <w:r>
        <w:rPr>
          <w:rFonts w:ascii="Times New Roman" w:hAnsi="Times New Roman" w:cs="Times New Roman"/>
          <w:sz w:val="24"/>
          <w:szCs w:val="24"/>
        </w:rPr>
        <w:t>au</w:t>
      </w:r>
      <w:r w:rsidRPr="00575CF1">
        <w:rPr>
          <w:rFonts w:ascii="Times New Roman" w:hAnsi="Times New Roman" w:cs="Times New Roman"/>
          <w:sz w:val="24"/>
          <w:szCs w:val="24"/>
        </w:rPr>
        <w:t xml:space="preserve"> développement </w:t>
      </w:r>
      <w:r>
        <w:rPr>
          <w:rFonts w:ascii="Times New Roman" w:hAnsi="Times New Roman" w:cs="Times New Roman"/>
          <w:sz w:val="24"/>
          <w:szCs w:val="24"/>
        </w:rPr>
        <w:t xml:space="preserve">des relations </w:t>
      </w:r>
      <w:r w:rsidRPr="00575CF1">
        <w:rPr>
          <w:rFonts w:ascii="Times New Roman" w:hAnsi="Times New Roman" w:cs="Times New Roman"/>
          <w:sz w:val="24"/>
          <w:szCs w:val="24"/>
        </w:rPr>
        <w:t xml:space="preserve">économique de </w:t>
      </w:r>
      <w:smartTag w:uri="urn:schemas-microsoft-com:office:smarttags" w:element="PersonName">
        <w:smartTagPr>
          <w:attr w:name="ProductID" w:val="la Tunisie."/>
        </w:smartTagPr>
        <w:r w:rsidRPr="00575CF1">
          <w:rPr>
            <w:rFonts w:ascii="Times New Roman" w:hAnsi="Times New Roman" w:cs="Times New Roman"/>
            <w:sz w:val="24"/>
            <w:szCs w:val="24"/>
          </w:rPr>
          <w:t>la Tunisie.</w:t>
        </w:r>
      </w:smartTag>
    </w:p>
    <w:p w:rsidR="005273ED" w:rsidRDefault="005273ED" w:rsidP="003A5A38">
      <w:pPr>
        <w:spacing w:after="0" w:line="240" w:lineRule="auto"/>
        <w:jc w:val="both"/>
        <w:rPr>
          <w:rFonts w:ascii="Times New Roman" w:hAnsi="Times New Roman" w:cs="Times New Roman"/>
          <w:sz w:val="24"/>
          <w:szCs w:val="24"/>
        </w:rPr>
      </w:pPr>
    </w:p>
    <w:p w:rsidR="005273ED" w:rsidRDefault="005273ED" w:rsidP="003A5A38">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On examinera donc en premier lieu</w:t>
      </w:r>
      <w:r w:rsidRPr="00575CF1">
        <w:rPr>
          <w:rFonts w:ascii="Times New Roman" w:hAnsi="Times New Roman" w:cs="Times New Roman"/>
          <w:sz w:val="24"/>
          <w:szCs w:val="24"/>
        </w:rPr>
        <w:t xml:space="preserve"> l</w:t>
      </w:r>
      <w:r>
        <w:rPr>
          <w:rFonts w:ascii="Times New Roman" w:hAnsi="Times New Roman" w:cs="Times New Roman"/>
          <w:sz w:val="24"/>
          <w:szCs w:val="24"/>
        </w:rPr>
        <w:t>e nouveau contexte politique et l</w:t>
      </w:r>
      <w:r w:rsidRPr="00575CF1">
        <w:rPr>
          <w:rFonts w:ascii="Times New Roman" w:hAnsi="Times New Roman" w:cs="Times New Roman"/>
          <w:sz w:val="24"/>
          <w:szCs w:val="24"/>
        </w:rPr>
        <w:t xml:space="preserve">’arbitrage relatif aux investissements </w:t>
      </w:r>
      <w:r>
        <w:rPr>
          <w:rFonts w:ascii="Times New Roman" w:hAnsi="Times New Roman" w:cs="Times New Roman"/>
          <w:sz w:val="24"/>
          <w:szCs w:val="24"/>
        </w:rPr>
        <w:t xml:space="preserve">(I) </w:t>
      </w:r>
      <w:r w:rsidRPr="00575CF1">
        <w:rPr>
          <w:rFonts w:ascii="Times New Roman" w:hAnsi="Times New Roman" w:cs="Times New Roman"/>
          <w:sz w:val="24"/>
          <w:szCs w:val="24"/>
        </w:rPr>
        <w:t>et</w:t>
      </w:r>
      <w:r>
        <w:rPr>
          <w:rFonts w:ascii="Times New Roman" w:hAnsi="Times New Roman" w:cs="Times New Roman"/>
          <w:sz w:val="24"/>
          <w:szCs w:val="24"/>
        </w:rPr>
        <w:t>,</w:t>
      </w:r>
      <w:r w:rsidRPr="00575CF1">
        <w:rPr>
          <w:rFonts w:ascii="Times New Roman" w:hAnsi="Times New Roman" w:cs="Times New Roman"/>
          <w:sz w:val="24"/>
          <w:szCs w:val="24"/>
        </w:rPr>
        <w:t xml:space="preserve"> en second lieu</w:t>
      </w:r>
      <w:r>
        <w:rPr>
          <w:rFonts w:ascii="Times New Roman" w:hAnsi="Times New Roman" w:cs="Times New Roman"/>
          <w:sz w:val="24"/>
          <w:szCs w:val="24"/>
        </w:rPr>
        <w:t>,</w:t>
      </w:r>
      <w:r w:rsidRPr="00575CF1">
        <w:rPr>
          <w:rFonts w:ascii="Times New Roman" w:hAnsi="Times New Roman" w:cs="Times New Roman"/>
          <w:sz w:val="24"/>
          <w:szCs w:val="24"/>
        </w:rPr>
        <w:t xml:space="preserve"> </w:t>
      </w:r>
      <w:r>
        <w:rPr>
          <w:rFonts w:ascii="Times New Roman" w:hAnsi="Times New Roman" w:cs="Times New Roman"/>
          <w:sz w:val="24"/>
          <w:szCs w:val="24"/>
        </w:rPr>
        <w:t xml:space="preserve">le nouveau contexte politique et </w:t>
      </w:r>
      <w:r w:rsidRPr="00575CF1">
        <w:rPr>
          <w:rFonts w:ascii="Times New Roman" w:hAnsi="Times New Roman" w:cs="Times New Roman"/>
          <w:sz w:val="24"/>
          <w:szCs w:val="24"/>
        </w:rPr>
        <w:t xml:space="preserve">l’arbitrage commercial </w:t>
      </w:r>
      <w:r>
        <w:rPr>
          <w:rFonts w:ascii="Times New Roman" w:hAnsi="Times New Roman" w:cs="Times New Roman"/>
          <w:sz w:val="24"/>
          <w:szCs w:val="24"/>
        </w:rPr>
        <w:t xml:space="preserve">traditionnel </w:t>
      </w:r>
      <w:r w:rsidRPr="00575CF1">
        <w:rPr>
          <w:rFonts w:ascii="Times New Roman" w:hAnsi="Times New Roman" w:cs="Times New Roman"/>
          <w:sz w:val="24"/>
          <w:szCs w:val="24"/>
        </w:rPr>
        <w:t>ou du droit commun</w:t>
      </w:r>
      <w:r>
        <w:rPr>
          <w:rFonts w:ascii="Times New Roman" w:hAnsi="Times New Roman" w:cs="Times New Roman"/>
          <w:sz w:val="24"/>
          <w:szCs w:val="24"/>
        </w:rPr>
        <w:t xml:space="preserve">  (II)</w:t>
      </w:r>
      <w:r w:rsidRPr="00575CF1">
        <w:rPr>
          <w:rFonts w:ascii="Times New Roman" w:hAnsi="Times New Roman" w:cs="Times New Roman"/>
          <w:sz w:val="24"/>
          <w:szCs w:val="24"/>
        </w:rPr>
        <w:t xml:space="preserve">. </w:t>
      </w:r>
    </w:p>
    <w:p w:rsidR="005273ED" w:rsidRDefault="005273ED" w:rsidP="00B2134D">
      <w:pPr>
        <w:spacing w:after="0" w:line="240" w:lineRule="auto"/>
        <w:jc w:val="both"/>
        <w:rPr>
          <w:rFonts w:ascii="Times New Roman" w:hAnsi="Times New Roman" w:cs="Times New Roman"/>
          <w:sz w:val="24"/>
          <w:szCs w:val="24"/>
        </w:rPr>
      </w:pPr>
    </w:p>
    <w:p w:rsidR="005273ED" w:rsidRPr="006E1C60" w:rsidRDefault="005273ED" w:rsidP="00B2134D">
      <w:pPr>
        <w:pStyle w:val="Paragraphedeliste"/>
        <w:numPr>
          <w:ilvl w:val="1"/>
          <w:numId w:val="8"/>
        </w:numPr>
        <w:spacing w:after="0" w:line="240" w:lineRule="auto"/>
        <w:jc w:val="both"/>
        <w:rPr>
          <w:rFonts w:ascii="Times New Roman" w:hAnsi="Times New Roman" w:cs="Times New Roman"/>
          <w:b/>
          <w:bCs/>
          <w:sz w:val="24"/>
          <w:szCs w:val="24"/>
        </w:rPr>
      </w:pPr>
      <w:r w:rsidRPr="006E1C60">
        <w:rPr>
          <w:rFonts w:ascii="Times New Roman" w:hAnsi="Times New Roman" w:cs="Times New Roman"/>
          <w:b/>
          <w:bCs/>
          <w:sz w:val="24"/>
          <w:szCs w:val="24"/>
        </w:rPr>
        <w:t>Le nouveau contexte politique en Tunisie et l’arbitrage relatif aux investissements</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7F3FCB">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En matière d’arbitrage relatif aux investissements, le nouveau contexte politique en Tunisie soulève deux quest</w:t>
      </w:r>
      <w:r>
        <w:rPr>
          <w:rFonts w:ascii="Times New Roman" w:hAnsi="Times New Roman" w:cs="Times New Roman"/>
          <w:sz w:val="24"/>
          <w:szCs w:val="24"/>
        </w:rPr>
        <w:t xml:space="preserve">ions : </w:t>
      </w:r>
      <w:r w:rsidRPr="00575CF1">
        <w:rPr>
          <w:rFonts w:ascii="Times New Roman" w:hAnsi="Times New Roman" w:cs="Times New Roman"/>
          <w:sz w:val="24"/>
          <w:szCs w:val="24"/>
        </w:rPr>
        <w:t xml:space="preserve">la remise en cause des contrats conclus par l’ancien régime </w:t>
      </w:r>
      <w:r>
        <w:rPr>
          <w:rFonts w:ascii="Times New Roman" w:hAnsi="Times New Roman" w:cs="Times New Roman"/>
          <w:sz w:val="24"/>
          <w:szCs w:val="24"/>
        </w:rPr>
        <w:t xml:space="preserve">et d’une manière générale la question des mesures de rétorsion contre les investisseurs qui ont traité avec l’ancien pouvoir </w:t>
      </w:r>
      <w:r w:rsidRPr="00575CF1">
        <w:rPr>
          <w:rFonts w:ascii="Times New Roman" w:hAnsi="Times New Roman" w:cs="Times New Roman"/>
          <w:sz w:val="24"/>
          <w:szCs w:val="24"/>
        </w:rPr>
        <w:t>(1) et les demandes de réparation pour le dommage (incendies, destruction ou vol) à la suite de la révolution (2)</w:t>
      </w:r>
      <w:r>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pStyle w:val="Paragraphedeliste"/>
        <w:numPr>
          <w:ilvl w:val="0"/>
          <w:numId w:val="12"/>
        </w:numPr>
        <w:spacing w:after="0" w:line="240" w:lineRule="auto"/>
        <w:jc w:val="both"/>
        <w:rPr>
          <w:rFonts w:ascii="Times New Roman" w:hAnsi="Times New Roman" w:cs="Times New Roman"/>
          <w:b/>
          <w:bCs/>
          <w:sz w:val="24"/>
          <w:szCs w:val="24"/>
        </w:rPr>
      </w:pPr>
      <w:r w:rsidRPr="002B620F">
        <w:rPr>
          <w:rFonts w:ascii="Times New Roman" w:hAnsi="Times New Roman" w:cs="Times New Roman"/>
          <w:b/>
          <w:bCs/>
          <w:sz w:val="24"/>
          <w:szCs w:val="24"/>
        </w:rPr>
        <w:t>La remise en cause des contrats conclus par l’ancien régime</w:t>
      </w:r>
    </w:p>
    <w:p w:rsidR="005273ED" w:rsidRPr="002B620F" w:rsidRDefault="005273ED" w:rsidP="00B2134D">
      <w:pPr>
        <w:pStyle w:val="Paragraphedeliste"/>
        <w:spacing w:after="0" w:line="240" w:lineRule="auto"/>
        <w:ind w:left="708"/>
        <w:jc w:val="both"/>
        <w:rPr>
          <w:rFonts w:ascii="Times New Roman" w:hAnsi="Times New Roman" w:cs="Times New Roman"/>
          <w:b/>
          <w:bCs/>
          <w:sz w:val="24"/>
          <w:szCs w:val="24"/>
        </w:rPr>
      </w:pPr>
    </w:p>
    <w:p w:rsidR="005273ED" w:rsidRDefault="005273ED" w:rsidP="0067511E">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Les révolutions et les changements de régimes s’accompagnent généralement par des mesures de rétorsion contre les investisseurs qui ont traité avec l’ancien régime, notamment </w:t>
      </w:r>
      <w:r w:rsidRPr="00575CF1">
        <w:rPr>
          <w:rFonts w:ascii="Times New Roman" w:hAnsi="Times New Roman" w:cs="Times New Roman"/>
          <w:sz w:val="24"/>
          <w:szCs w:val="24"/>
        </w:rPr>
        <w:lastRenderedPageBreak/>
        <w:t>par la mise en cause par les nouveaux pouvoirs des accords conclus avec le régime précédent</w:t>
      </w:r>
      <w:r>
        <w:rPr>
          <w:rFonts w:ascii="Times New Roman" w:hAnsi="Times New Roman" w:cs="Times New Roman"/>
          <w:sz w:val="24"/>
          <w:szCs w:val="24"/>
        </w:rPr>
        <w:t>. Ces mesures de rétorsion peuvent aussi inclure la confiscation des biens, l’interdiction de gérer l’investissement, la nomination de nouveaux dirigeants pour gérer le projet et la privation de la jouissance et de l’administration des entreprises</w:t>
      </w:r>
      <w:r w:rsidRPr="00575CF1">
        <w:rPr>
          <w:rFonts w:ascii="Times New Roman" w:hAnsi="Times New Roman" w:cs="Times New Roman"/>
          <w:sz w:val="24"/>
          <w:szCs w:val="24"/>
        </w:rPr>
        <w:t>. Souvent, on reproche à ces accords d’être obtenus par corruption</w:t>
      </w:r>
      <w:r>
        <w:rPr>
          <w:rFonts w:ascii="Times New Roman" w:hAnsi="Times New Roman" w:cs="Times New Roman"/>
          <w:sz w:val="24"/>
          <w:szCs w:val="24"/>
        </w:rPr>
        <w:t xml:space="preserve"> ou </w:t>
      </w:r>
      <w:r w:rsidRPr="00575CF1">
        <w:rPr>
          <w:rFonts w:ascii="Times New Roman" w:hAnsi="Times New Roman" w:cs="Times New Roman"/>
          <w:sz w:val="24"/>
          <w:szCs w:val="24"/>
        </w:rPr>
        <w:t>d’être incompatible</w:t>
      </w:r>
      <w:r>
        <w:rPr>
          <w:rFonts w:ascii="Times New Roman" w:hAnsi="Times New Roman" w:cs="Times New Roman"/>
          <w:sz w:val="24"/>
          <w:szCs w:val="24"/>
        </w:rPr>
        <w:t>s</w:t>
      </w:r>
      <w:r w:rsidRPr="00575CF1">
        <w:rPr>
          <w:rFonts w:ascii="Times New Roman" w:hAnsi="Times New Roman" w:cs="Times New Roman"/>
          <w:sz w:val="24"/>
          <w:szCs w:val="24"/>
        </w:rPr>
        <w:t xml:space="preserve"> avec l’intérêt général</w:t>
      </w:r>
      <w:r>
        <w:rPr>
          <w:rFonts w:ascii="Times New Roman" w:hAnsi="Times New Roman" w:cs="Times New Roman"/>
          <w:sz w:val="24"/>
          <w:szCs w:val="24"/>
        </w:rPr>
        <w:t xml:space="preserve">. On considère aussi que les investisseurs étrangers étaient des alliés du pouvoir politique illégitime renversé par le mouvement populaire. </w:t>
      </w:r>
      <w:r w:rsidRPr="00575CF1">
        <w:rPr>
          <w:rFonts w:ascii="Times New Roman" w:hAnsi="Times New Roman" w:cs="Times New Roman"/>
          <w:sz w:val="24"/>
          <w:szCs w:val="24"/>
        </w:rPr>
        <w:t>Ce scenario s’est produit en Egypte</w:t>
      </w:r>
      <w:r>
        <w:rPr>
          <w:rStyle w:val="Appelnotedebasdep"/>
          <w:rFonts w:ascii="Times New Roman" w:hAnsi="Times New Roman"/>
          <w:sz w:val="24"/>
          <w:szCs w:val="24"/>
        </w:rPr>
        <w:footnoteReference w:id="6"/>
      </w:r>
      <w:r w:rsidRPr="00575CF1">
        <w:rPr>
          <w:rFonts w:ascii="Times New Roman" w:hAnsi="Times New Roman" w:cs="Times New Roman"/>
          <w:sz w:val="24"/>
          <w:szCs w:val="24"/>
        </w:rPr>
        <w:t xml:space="preserve">. Pour le moment, le gouvernement tunisien n’a pas voulu remettre en cause les accords conclus par le régime précédent. Il y a </w:t>
      </w:r>
      <w:r>
        <w:rPr>
          <w:rFonts w:ascii="Times New Roman" w:hAnsi="Times New Roman" w:cs="Times New Roman"/>
          <w:sz w:val="24"/>
          <w:szCs w:val="24"/>
        </w:rPr>
        <w:t xml:space="preserve">actuellement </w:t>
      </w:r>
      <w:r w:rsidRPr="00575CF1">
        <w:rPr>
          <w:rFonts w:ascii="Times New Roman" w:hAnsi="Times New Roman" w:cs="Times New Roman"/>
          <w:sz w:val="24"/>
          <w:szCs w:val="24"/>
        </w:rPr>
        <w:t xml:space="preserve">un contentieux entre le gouvernement tunisien et une société turque </w:t>
      </w:r>
      <w:r>
        <w:rPr>
          <w:rFonts w:ascii="Times New Roman" w:hAnsi="Times New Roman" w:cs="Times New Roman"/>
          <w:sz w:val="24"/>
          <w:szCs w:val="24"/>
        </w:rPr>
        <w:t xml:space="preserve">TAV </w:t>
      </w:r>
      <w:r w:rsidRPr="00575CF1">
        <w:rPr>
          <w:rFonts w:ascii="Times New Roman" w:hAnsi="Times New Roman" w:cs="Times New Roman"/>
          <w:sz w:val="24"/>
          <w:szCs w:val="24"/>
        </w:rPr>
        <w:t xml:space="preserve">s’agissant </w:t>
      </w:r>
      <w:r>
        <w:rPr>
          <w:rFonts w:ascii="Times New Roman" w:hAnsi="Times New Roman" w:cs="Times New Roman"/>
          <w:sz w:val="24"/>
          <w:szCs w:val="24"/>
        </w:rPr>
        <w:t xml:space="preserve">d’une </w:t>
      </w:r>
      <w:r w:rsidRPr="00575CF1">
        <w:rPr>
          <w:rFonts w:ascii="Times New Roman" w:hAnsi="Times New Roman" w:cs="Times New Roman"/>
          <w:sz w:val="24"/>
          <w:szCs w:val="24"/>
        </w:rPr>
        <w:t>concession relative à la gestion de</w:t>
      </w:r>
      <w:r>
        <w:rPr>
          <w:rFonts w:ascii="Times New Roman" w:hAnsi="Times New Roman" w:cs="Times New Roman"/>
          <w:sz w:val="24"/>
          <w:szCs w:val="24"/>
        </w:rPr>
        <w:t xml:space="preserve"> deux </w:t>
      </w:r>
      <w:r w:rsidRPr="00575CF1">
        <w:rPr>
          <w:rFonts w:ascii="Times New Roman" w:hAnsi="Times New Roman" w:cs="Times New Roman"/>
          <w:sz w:val="24"/>
          <w:szCs w:val="24"/>
        </w:rPr>
        <w:t>aéropor</w:t>
      </w:r>
      <w:r>
        <w:rPr>
          <w:rFonts w:ascii="Times New Roman" w:hAnsi="Times New Roman" w:cs="Times New Roman"/>
          <w:sz w:val="24"/>
          <w:szCs w:val="24"/>
        </w:rPr>
        <w:t>ts</w:t>
      </w:r>
      <w:r w:rsidRPr="00575CF1">
        <w:rPr>
          <w:rFonts w:ascii="Times New Roman" w:hAnsi="Times New Roman" w:cs="Times New Roman"/>
          <w:sz w:val="24"/>
          <w:szCs w:val="24"/>
        </w:rPr>
        <w:t xml:space="preserve"> en Tunisie. Mais ce contentieux porte sur l’exécution </w:t>
      </w:r>
      <w:r>
        <w:rPr>
          <w:rFonts w:ascii="Times New Roman" w:hAnsi="Times New Roman" w:cs="Times New Roman"/>
          <w:sz w:val="24"/>
          <w:szCs w:val="24"/>
        </w:rPr>
        <w:t>de</w:t>
      </w:r>
      <w:r w:rsidRPr="00575CF1">
        <w:rPr>
          <w:rFonts w:ascii="Times New Roman" w:hAnsi="Times New Roman" w:cs="Times New Roman"/>
          <w:sz w:val="24"/>
          <w:szCs w:val="24"/>
        </w:rPr>
        <w:t xml:space="preserve"> contrat</w:t>
      </w:r>
      <w:r>
        <w:rPr>
          <w:rFonts w:ascii="Times New Roman" w:hAnsi="Times New Roman" w:cs="Times New Roman"/>
          <w:sz w:val="24"/>
          <w:szCs w:val="24"/>
        </w:rPr>
        <w:t>s</w:t>
      </w:r>
      <w:r w:rsidRPr="00575CF1">
        <w:rPr>
          <w:rFonts w:ascii="Times New Roman" w:hAnsi="Times New Roman" w:cs="Times New Roman"/>
          <w:sz w:val="24"/>
          <w:szCs w:val="24"/>
        </w:rPr>
        <w:t xml:space="preserve"> déjà conclu</w:t>
      </w:r>
      <w:r>
        <w:rPr>
          <w:rFonts w:ascii="Times New Roman" w:hAnsi="Times New Roman" w:cs="Times New Roman"/>
          <w:sz w:val="24"/>
          <w:szCs w:val="24"/>
        </w:rPr>
        <w:t>s</w:t>
      </w:r>
      <w:r w:rsidRPr="00575CF1">
        <w:rPr>
          <w:rFonts w:ascii="Times New Roman" w:hAnsi="Times New Roman" w:cs="Times New Roman"/>
          <w:sz w:val="24"/>
          <w:szCs w:val="24"/>
        </w:rPr>
        <w:t xml:space="preserve"> et n’a </w:t>
      </w:r>
      <w:r>
        <w:rPr>
          <w:rFonts w:ascii="Times New Roman" w:hAnsi="Times New Roman" w:cs="Times New Roman"/>
          <w:sz w:val="24"/>
          <w:szCs w:val="24"/>
        </w:rPr>
        <w:t>pas une relation directe</w:t>
      </w:r>
      <w:r w:rsidRPr="00575CF1">
        <w:rPr>
          <w:rFonts w:ascii="Times New Roman" w:hAnsi="Times New Roman" w:cs="Times New Roman"/>
          <w:sz w:val="24"/>
          <w:szCs w:val="24"/>
        </w:rPr>
        <w:t xml:space="preserve"> avec le nouveau contexte politique tunisien.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Quoi qu’il en soit, si les gouvernements essayent de mettre en cause les anciens accords, les investisseurs privés peuvent penser à utiliser l’arbitrage offert dans les traités et les lois d’investissement pour protéger leur</w:t>
      </w:r>
      <w:r>
        <w:rPr>
          <w:rFonts w:ascii="Times New Roman" w:hAnsi="Times New Roman" w:cs="Times New Roman"/>
          <w:sz w:val="24"/>
          <w:szCs w:val="24"/>
        </w:rPr>
        <w:t>s</w:t>
      </w:r>
      <w:r w:rsidRPr="00575CF1">
        <w:rPr>
          <w:rFonts w:ascii="Times New Roman" w:hAnsi="Times New Roman" w:cs="Times New Roman"/>
          <w:sz w:val="24"/>
          <w:szCs w:val="24"/>
        </w:rPr>
        <w:t xml:space="preserve"> droit</w:t>
      </w:r>
      <w:r>
        <w:rPr>
          <w:rFonts w:ascii="Times New Roman" w:hAnsi="Times New Roman" w:cs="Times New Roman"/>
          <w:sz w:val="24"/>
          <w:szCs w:val="24"/>
        </w:rPr>
        <w:t>s</w:t>
      </w:r>
      <w:r w:rsidRPr="00575CF1">
        <w:rPr>
          <w:rFonts w:ascii="Times New Roman" w:hAnsi="Times New Roman" w:cs="Times New Roman"/>
          <w:sz w:val="24"/>
          <w:szCs w:val="24"/>
        </w:rPr>
        <w:t xml:space="preserve">. Ils peuvent ainsi prétendre que </w:t>
      </w:r>
      <w:r>
        <w:rPr>
          <w:rFonts w:ascii="Times New Roman" w:hAnsi="Times New Roman" w:cs="Times New Roman"/>
          <w:sz w:val="24"/>
          <w:szCs w:val="24"/>
        </w:rPr>
        <w:t>la révocation</w:t>
      </w:r>
      <w:r w:rsidRPr="00575CF1">
        <w:rPr>
          <w:rFonts w:ascii="Times New Roman" w:hAnsi="Times New Roman" w:cs="Times New Roman"/>
          <w:sz w:val="24"/>
          <w:szCs w:val="24"/>
        </w:rPr>
        <w:t xml:space="preserve"> des contrats consti</w:t>
      </w:r>
      <w:r>
        <w:rPr>
          <w:rFonts w:ascii="Times New Roman" w:hAnsi="Times New Roman" w:cs="Times New Roman"/>
          <w:sz w:val="24"/>
          <w:szCs w:val="24"/>
        </w:rPr>
        <w:t>tue un traitement injuste et in</w:t>
      </w:r>
      <w:r w:rsidRPr="00575CF1">
        <w:rPr>
          <w:rFonts w:ascii="Times New Roman" w:hAnsi="Times New Roman" w:cs="Times New Roman"/>
          <w:sz w:val="24"/>
          <w:szCs w:val="24"/>
        </w:rPr>
        <w:t>équitable, une expropriation déguisée, un traitement arbitraire et une violation de l’</w:t>
      </w:r>
      <w:proofErr w:type="spellStart"/>
      <w:r w:rsidRPr="00C332D8">
        <w:rPr>
          <w:rFonts w:ascii="Times New Roman" w:hAnsi="Times New Roman" w:cs="Times New Roman"/>
          <w:i/>
          <w:iCs/>
          <w:sz w:val="24"/>
          <w:szCs w:val="24"/>
        </w:rPr>
        <w:t>umbrella</w:t>
      </w:r>
      <w:proofErr w:type="spellEnd"/>
      <w:r w:rsidRPr="00C332D8">
        <w:rPr>
          <w:rFonts w:ascii="Times New Roman" w:hAnsi="Times New Roman" w:cs="Times New Roman"/>
          <w:i/>
          <w:iCs/>
          <w:sz w:val="24"/>
          <w:szCs w:val="24"/>
        </w:rPr>
        <w:t xml:space="preserve"> clause. </w:t>
      </w:r>
      <w:r w:rsidRPr="00575CF1">
        <w:rPr>
          <w:rFonts w:ascii="Times New Roman" w:hAnsi="Times New Roman" w:cs="Times New Roman"/>
          <w:sz w:val="24"/>
          <w:szCs w:val="24"/>
        </w:rPr>
        <w:t>Les gouverne</w:t>
      </w:r>
      <w:r>
        <w:rPr>
          <w:rFonts w:ascii="Times New Roman" w:hAnsi="Times New Roman" w:cs="Times New Roman"/>
          <w:sz w:val="24"/>
          <w:szCs w:val="24"/>
        </w:rPr>
        <w:t>me</w:t>
      </w:r>
      <w:r w:rsidRPr="00575CF1">
        <w:rPr>
          <w:rFonts w:ascii="Times New Roman" w:hAnsi="Times New Roman" w:cs="Times New Roman"/>
          <w:sz w:val="24"/>
          <w:szCs w:val="24"/>
        </w:rPr>
        <w:t>nt</w:t>
      </w:r>
      <w:r>
        <w:rPr>
          <w:rFonts w:ascii="Times New Roman" w:hAnsi="Times New Roman" w:cs="Times New Roman"/>
          <w:sz w:val="24"/>
          <w:szCs w:val="24"/>
        </w:rPr>
        <w:t>s</w:t>
      </w:r>
      <w:r w:rsidRPr="00575CF1">
        <w:rPr>
          <w:rFonts w:ascii="Times New Roman" w:hAnsi="Times New Roman" w:cs="Times New Roman"/>
          <w:sz w:val="24"/>
          <w:szCs w:val="24"/>
        </w:rPr>
        <w:t xml:space="preserve"> peuvent </w:t>
      </w:r>
      <w:r>
        <w:rPr>
          <w:rFonts w:ascii="Times New Roman" w:hAnsi="Times New Roman" w:cs="Times New Roman"/>
          <w:sz w:val="24"/>
          <w:szCs w:val="24"/>
        </w:rPr>
        <w:t>se défendre</w:t>
      </w:r>
      <w:r w:rsidRPr="00575CF1">
        <w:rPr>
          <w:rFonts w:ascii="Times New Roman" w:hAnsi="Times New Roman" w:cs="Times New Roman"/>
          <w:sz w:val="24"/>
          <w:szCs w:val="24"/>
        </w:rPr>
        <w:t>, en soutenant que ces contrats ont été obtenu</w:t>
      </w:r>
      <w:r>
        <w:rPr>
          <w:rFonts w:ascii="Times New Roman" w:hAnsi="Times New Roman" w:cs="Times New Roman"/>
          <w:sz w:val="24"/>
          <w:szCs w:val="24"/>
        </w:rPr>
        <w:t>s</w:t>
      </w:r>
      <w:r w:rsidRPr="00575CF1">
        <w:rPr>
          <w:rFonts w:ascii="Times New Roman" w:hAnsi="Times New Roman" w:cs="Times New Roman"/>
          <w:sz w:val="24"/>
          <w:szCs w:val="24"/>
        </w:rPr>
        <w:t xml:space="preserve"> de façon illicite ou par corruption, ce qui pose le délicat problème de la preuve de l’illicite, la prescript</w:t>
      </w:r>
      <w:r>
        <w:rPr>
          <w:rFonts w:ascii="Times New Roman" w:hAnsi="Times New Roman" w:cs="Times New Roman"/>
          <w:sz w:val="24"/>
          <w:szCs w:val="24"/>
        </w:rPr>
        <w:t>ion et la continuité de l’Etat : e</w:t>
      </w:r>
      <w:r w:rsidRPr="00575CF1">
        <w:rPr>
          <w:rFonts w:ascii="Times New Roman" w:hAnsi="Times New Roman" w:cs="Times New Roman"/>
          <w:sz w:val="24"/>
          <w:szCs w:val="24"/>
        </w:rPr>
        <w:t>st-ce qu’un gouvernement p</w:t>
      </w:r>
      <w:r>
        <w:rPr>
          <w:rFonts w:ascii="Times New Roman" w:hAnsi="Times New Roman" w:cs="Times New Roman"/>
          <w:sz w:val="24"/>
          <w:szCs w:val="24"/>
        </w:rPr>
        <w:t>eut</w:t>
      </w:r>
      <w:r w:rsidRPr="00575CF1">
        <w:rPr>
          <w:rFonts w:ascii="Times New Roman" w:hAnsi="Times New Roman" w:cs="Times New Roman"/>
          <w:sz w:val="24"/>
          <w:szCs w:val="24"/>
        </w:rPr>
        <w:t xml:space="preserve"> invoquer les actes illicites d’un ancien gouvernement qui représente l’Etat </w:t>
      </w:r>
      <w:r>
        <w:rPr>
          <w:rFonts w:ascii="Times New Roman" w:hAnsi="Times New Roman" w:cs="Times New Roman"/>
          <w:sz w:val="24"/>
          <w:szCs w:val="24"/>
        </w:rPr>
        <w:t xml:space="preserve">comme moyen de défense </w:t>
      </w:r>
      <w:r w:rsidRPr="00575CF1">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On souligne que dans le d</w:t>
      </w:r>
      <w:r w:rsidRPr="00575CF1">
        <w:rPr>
          <w:rFonts w:ascii="Times New Roman" w:hAnsi="Times New Roman" w:cs="Times New Roman"/>
          <w:sz w:val="24"/>
          <w:szCs w:val="24"/>
          <w:lang w:eastAsia="fr-FR"/>
        </w:rPr>
        <w:t>écret-loi n° 2011-13 du 14 mars 2011</w:t>
      </w:r>
      <w:r>
        <w:rPr>
          <w:rStyle w:val="Appelnotedebasdep"/>
          <w:rFonts w:ascii="Times New Roman" w:hAnsi="Times New Roman"/>
          <w:sz w:val="24"/>
          <w:szCs w:val="24"/>
          <w:lang w:eastAsia="fr-FR"/>
        </w:rPr>
        <w:footnoteReference w:id="7"/>
      </w:r>
      <w:r w:rsidRPr="00575CF1">
        <w:rPr>
          <w:rFonts w:ascii="Times New Roman" w:hAnsi="Times New Roman" w:cs="Times New Roman"/>
          <w:sz w:val="24"/>
          <w:szCs w:val="24"/>
          <w:lang w:eastAsia="fr-FR"/>
        </w:rPr>
        <w:t>, portant confiscation d’avoirs et de biens meubles et immeubles</w:t>
      </w:r>
      <w:r>
        <w:rPr>
          <w:rFonts w:ascii="Times New Roman" w:hAnsi="Times New Roman" w:cs="Times New Roman"/>
          <w:sz w:val="24"/>
          <w:szCs w:val="24"/>
          <w:lang w:eastAsia="fr-FR"/>
        </w:rPr>
        <w:t xml:space="preserve">, </w:t>
      </w:r>
      <w:r>
        <w:rPr>
          <w:rFonts w:ascii="Times New Roman" w:hAnsi="Times New Roman" w:cs="Times New Roman"/>
          <w:sz w:val="24"/>
          <w:szCs w:val="24"/>
        </w:rPr>
        <w:t>le gouvernement tunisien a adopté d</w:t>
      </w:r>
      <w:r w:rsidRPr="00575CF1">
        <w:rPr>
          <w:rFonts w:ascii="Times New Roman" w:hAnsi="Times New Roman" w:cs="Times New Roman"/>
          <w:sz w:val="24"/>
          <w:szCs w:val="24"/>
        </w:rPr>
        <w:t xml:space="preserve">es mesures de rétorsion </w:t>
      </w:r>
      <w:r>
        <w:rPr>
          <w:rFonts w:ascii="Times New Roman" w:hAnsi="Times New Roman" w:cs="Times New Roman"/>
          <w:sz w:val="24"/>
          <w:szCs w:val="24"/>
        </w:rPr>
        <w:t xml:space="preserve">contre certains investisseurs. Mais ces mesures </w:t>
      </w:r>
      <w:r w:rsidRPr="00575CF1">
        <w:rPr>
          <w:rFonts w:ascii="Times New Roman" w:hAnsi="Times New Roman" w:cs="Times New Roman"/>
          <w:sz w:val="24"/>
          <w:szCs w:val="24"/>
        </w:rPr>
        <w:t xml:space="preserve">ne concernent que </w:t>
      </w:r>
      <w:r>
        <w:rPr>
          <w:rFonts w:ascii="Times New Roman" w:hAnsi="Times New Roman" w:cs="Times New Roman"/>
          <w:sz w:val="24"/>
          <w:szCs w:val="24"/>
        </w:rPr>
        <w:t xml:space="preserve">des personnes physiques de nationalité tunisienne à l’exclusion des </w:t>
      </w:r>
      <w:r w:rsidRPr="00575CF1">
        <w:rPr>
          <w:rFonts w:ascii="Times New Roman" w:hAnsi="Times New Roman" w:cs="Times New Roman"/>
          <w:sz w:val="24"/>
          <w:szCs w:val="24"/>
        </w:rPr>
        <w:t>étrangers</w:t>
      </w:r>
      <w:r w:rsidRPr="00575CF1">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 xml:space="preserve">Il s’agit essentiellement </w:t>
      </w:r>
      <w:r w:rsidRPr="00700B55">
        <w:rPr>
          <w:rFonts w:ascii="Times New Roman" w:hAnsi="Times New Roman" w:cs="Times New Roman"/>
          <w:sz w:val="24"/>
          <w:szCs w:val="24"/>
          <w:lang w:eastAsia="fr-FR"/>
        </w:rPr>
        <w:t>d</w:t>
      </w:r>
      <w:r>
        <w:rPr>
          <w:rFonts w:ascii="Times New Roman" w:hAnsi="Times New Roman" w:cs="Times New Roman"/>
          <w:sz w:val="24"/>
          <w:szCs w:val="24"/>
          <w:lang w:eastAsia="fr-FR"/>
        </w:rPr>
        <w:t xml:space="preserve">’une </w:t>
      </w:r>
      <w:r w:rsidRPr="00A53C93">
        <w:rPr>
          <w:rFonts w:ascii="Times New Roman" w:hAnsi="Times New Roman" w:cs="Times New Roman"/>
          <w:sz w:val="24"/>
          <w:szCs w:val="24"/>
          <w:lang w:eastAsia="fr-FR"/>
        </w:rPr>
        <w:t xml:space="preserve">liste de 114 personnes appartenant aux familles Ben Ali et </w:t>
      </w:r>
      <w:proofErr w:type="spellStart"/>
      <w:r w:rsidRPr="00A53C93">
        <w:rPr>
          <w:rFonts w:ascii="Times New Roman" w:hAnsi="Times New Roman" w:cs="Times New Roman"/>
          <w:sz w:val="24"/>
          <w:szCs w:val="24"/>
          <w:lang w:eastAsia="fr-FR"/>
        </w:rPr>
        <w:t>Trabelsi</w:t>
      </w:r>
      <w:proofErr w:type="spellEnd"/>
      <w:r w:rsidRPr="00A53C93">
        <w:rPr>
          <w:rFonts w:ascii="Times New Roman" w:hAnsi="Times New Roman" w:cs="Times New Roman"/>
          <w:sz w:val="24"/>
          <w:szCs w:val="24"/>
          <w:lang w:eastAsia="fr-FR"/>
        </w:rPr>
        <w:t xml:space="preserve"> (famille de l’épouse du président) ainsi que de leurs alliés et proches</w:t>
      </w:r>
      <w:r>
        <w:rPr>
          <w:rStyle w:val="Appelnotedebasdep"/>
          <w:rFonts w:ascii="Times New Roman" w:hAnsi="Times New Roman"/>
          <w:sz w:val="24"/>
          <w:szCs w:val="24"/>
          <w:lang w:eastAsia="fr-FR"/>
        </w:rPr>
        <w:footnoteReference w:id="8"/>
      </w:r>
      <w:r w:rsidRPr="00A53C93">
        <w:rPr>
          <w:rFonts w:ascii="Times New Roman" w:hAnsi="Times New Roman" w:cs="Times New Roman"/>
          <w:sz w:val="24"/>
          <w:szCs w:val="24"/>
          <w:lang w:eastAsia="fr-FR"/>
        </w:rPr>
        <w:t xml:space="preserve">.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67511E">
      <w:pPr>
        <w:spacing w:after="0" w:line="240" w:lineRule="auto"/>
        <w:jc w:val="both"/>
        <w:rPr>
          <w:rFonts w:ascii="Times New Roman" w:hAnsi="Times New Roman" w:cs="Times New Roman"/>
          <w:sz w:val="24"/>
          <w:szCs w:val="24"/>
        </w:rPr>
      </w:pPr>
      <w:r w:rsidRPr="00A53C93">
        <w:rPr>
          <w:rFonts w:ascii="Times New Roman" w:hAnsi="Times New Roman" w:cs="Times New Roman"/>
          <w:sz w:val="24"/>
          <w:szCs w:val="24"/>
          <w:lang w:eastAsia="fr-FR"/>
        </w:rPr>
        <w:t>Il est vrai que l</w:t>
      </w:r>
      <w:r>
        <w:rPr>
          <w:rFonts w:ascii="Times New Roman" w:hAnsi="Times New Roman" w:cs="Times New Roman"/>
          <w:sz w:val="24"/>
          <w:szCs w:val="24"/>
        </w:rPr>
        <w:t>’</w:t>
      </w:r>
      <w:r w:rsidRPr="00A53C93">
        <w:rPr>
          <w:rFonts w:ascii="Times New Roman" w:hAnsi="Times New Roman" w:cs="Times New Roman"/>
          <w:sz w:val="24"/>
          <w:szCs w:val="24"/>
        </w:rPr>
        <w:t>article 1</w:t>
      </w:r>
      <w:r w:rsidRPr="00A53C93">
        <w:rPr>
          <w:rFonts w:ascii="Times New Roman" w:hAnsi="Times New Roman" w:cs="Times New Roman"/>
          <w:sz w:val="24"/>
          <w:szCs w:val="24"/>
          <w:vertAlign w:val="superscript"/>
        </w:rPr>
        <w:t>er</w:t>
      </w:r>
      <w:r w:rsidRPr="00A53C93">
        <w:rPr>
          <w:rFonts w:ascii="Times New Roman" w:hAnsi="Times New Roman" w:cs="Times New Roman"/>
          <w:sz w:val="24"/>
          <w:szCs w:val="24"/>
        </w:rPr>
        <w:t xml:space="preserve"> de ce décret</w:t>
      </w:r>
      <w:r>
        <w:rPr>
          <w:rFonts w:ascii="Times New Roman" w:hAnsi="Times New Roman" w:cs="Times New Roman"/>
          <w:sz w:val="24"/>
          <w:szCs w:val="24"/>
        </w:rPr>
        <w:t>-</w:t>
      </w:r>
      <w:r w:rsidRPr="00A53C93">
        <w:rPr>
          <w:rFonts w:ascii="Times New Roman" w:hAnsi="Times New Roman" w:cs="Times New Roman"/>
          <w:sz w:val="24"/>
          <w:szCs w:val="24"/>
        </w:rPr>
        <w:t>loi laisse ouverte la liste des personnes concernées en prévoyant que la confi</w:t>
      </w:r>
      <w:r>
        <w:rPr>
          <w:rFonts w:ascii="Times New Roman" w:hAnsi="Times New Roman" w:cs="Times New Roman"/>
          <w:sz w:val="24"/>
          <w:szCs w:val="24"/>
        </w:rPr>
        <w:t>scation peut affecter en sus de l’ex-P</w:t>
      </w:r>
      <w:r w:rsidRPr="00A53C93">
        <w:rPr>
          <w:rFonts w:ascii="Times New Roman" w:hAnsi="Times New Roman" w:cs="Times New Roman"/>
          <w:sz w:val="24"/>
          <w:szCs w:val="24"/>
        </w:rPr>
        <w:t>résident, de sa femme et des personnes indiquées dans la liste « </w:t>
      </w:r>
      <w:r w:rsidRPr="00A53C93">
        <w:rPr>
          <w:rFonts w:ascii="Times New Roman" w:hAnsi="Times New Roman" w:cs="Times New Roman"/>
          <w:i/>
          <w:iCs/>
          <w:sz w:val="24"/>
          <w:szCs w:val="24"/>
        </w:rPr>
        <w:t>toute autre personne dont il est prouvé l’obtention de biens meubles ou immeubles ou droits par l’effet de ses relations avec lesdites personnes </w:t>
      </w:r>
      <w:r w:rsidRPr="00A53C93">
        <w:rPr>
          <w:rFonts w:ascii="Times New Roman" w:hAnsi="Times New Roman" w:cs="Times New Roman"/>
          <w:sz w:val="24"/>
          <w:szCs w:val="24"/>
        </w:rPr>
        <w:t xml:space="preserve">». Cette disposition </w:t>
      </w:r>
      <w:r>
        <w:rPr>
          <w:rFonts w:ascii="Times New Roman" w:hAnsi="Times New Roman" w:cs="Times New Roman"/>
          <w:sz w:val="24"/>
          <w:szCs w:val="24"/>
        </w:rPr>
        <w:t xml:space="preserve">qui </w:t>
      </w:r>
      <w:r w:rsidRPr="00A53C93">
        <w:rPr>
          <w:rFonts w:ascii="Times New Roman" w:hAnsi="Times New Roman" w:cs="Times New Roman"/>
          <w:sz w:val="24"/>
          <w:szCs w:val="24"/>
        </w:rPr>
        <w:t xml:space="preserve">vise </w:t>
      </w:r>
      <w:r>
        <w:rPr>
          <w:rFonts w:ascii="Times New Roman" w:hAnsi="Times New Roman" w:cs="Times New Roman"/>
          <w:sz w:val="24"/>
          <w:szCs w:val="24"/>
        </w:rPr>
        <w:t xml:space="preserve">entre autre </w:t>
      </w:r>
      <w:r w:rsidRPr="00A53C93">
        <w:rPr>
          <w:rFonts w:ascii="Times New Roman" w:hAnsi="Times New Roman" w:cs="Times New Roman"/>
          <w:sz w:val="24"/>
          <w:szCs w:val="24"/>
        </w:rPr>
        <w:t>les personnes « </w:t>
      </w:r>
      <w:r w:rsidRPr="0067511E">
        <w:rPr>
          <w:rFonts w:ascii="Times New Roman" w:hAnsi="Times New Roman" w:cs="Times New Roman"/>
          <w:i/>
          <w:iCs/>
          <w:sz w:val="24"/>
          <w:szCs w:val="24"/>
        </w:rPr>
        <w:t>écrans</w:t>
      </w:r>
      <w:r w:rsidRPr="00A53C93">
        <w:rPr>
          <w:rFonts w:ascii="Times New Roman" w:hAnsi="Times New Roman" w:cs="Times New Roman"/>
          <w:sz w:val="24"/>
          <w:szCs w:val="24"/>
        </w:rPr>
        <w:t> » et « </w:t>
      </w:r>
      <w:r w:rsidRPr="00A53C93">
        <w:rPr>
          <w:rFonts w:ascii="Times New Roman" w:hAnsi="Times New Roman" w:cs="Times New Roman"/>
          <w:i/>
          <w:iCs/>
          <w:sz w:val="24"/>
          <w:szCs w:val="24"/>
        </w:rPr>
        <w:t>les hommes de paille </w:t>
      </w:r>
      <w:r>
        <w:rPr>
          <w:rFonts w:ascii="Times New Roman" w:hAnsi="Times New Roman" w:cs="Times New Roman"/>
          <w:sz w:val="24"/>
          <w:szCs w:val="24"/>
        </w:rPr>
        <w:t xml:space="preserve">» peut être invoquée pour étendre </w:t>
      </w:r>
      <w:r w:rsidRPr="00A53C93">
        <w:rPr>
          <w:rFonts w:ascii="Times New Roman" w:hAnsi="Times New Roman" w:cs="Times New Roman"/>
          <w:sz w:val="24"/>
          <w:szCs w:val="24"/>
        </w:rPr>
        <w:t xml:space="preserve">le domaine personnel du décret-loi </w:t>
      </w:r>
      <w:r>
        <w:rPr>
          <w:rFonts w:ascii="Times New Roman" w:hAnsi="Times New Roman" w:cs="Times New Roman"/>
          <w:sz w:val="24"/>
          <w:szCs w:val="24"/>
        </w:rPr>
        <w:t xml:space="preserve">à des </w:t>
      </w:r>
      <w:r w:rsidRPr="00A53C93">
        <w:rPr>
          <w:rFonts w:ascii="Times New Roman" w:hAnsi="Times New Roman" w:cs="Times New Roman"/>
          <w:sz w:val="24"/>
          <w:szCs w:val="24"/>
        </w:rPr>
        <w:t>ressortissants étrangers</w:t>
      </w:r>
      <w:r>
        <w:rPr>
          <w:rFonts w:ascii="Times New Roman" w:hAnsi="Times New Roman" w:cs="Times New Roman"/>
          <w:sz w:val="24"/>
          <w:szCs w:val="24"/>
        </w:rPr>
        <w:t xml:space="preserve"> éventuellement couvertes par la</w:t>
      </w:r>
      <w:r w:rsidRPr="00A53C93">
        <w:rPr>
          <w:rFonts w:ascii="Times New Roman" w:hAnsi="Times New Roman" w:cs="Times New Roman"/>
          <w:sz w:val="24"/>
          <w:szCs w:val="24"/>
        </w:rPr>
        <w:t xml:space="preserve"> protection </w:t>
      </w:r>
      <w:r>
        <w:rPr>
          <w:rFonts w:ascii="Times New Roman" w:hAnsi="Times New Roman" w:cs="Times New Roman"/>
          <w:sz w:val="24"/>
          <w:szCs w:val="24"/>
        </w:rPr>
        <w:t xml:space="preserve">arbitrale </w:t>
      </w:r>
      <w:r w:rsidRPr="00A53C93">
        <w:rPr>
          <w:rFonts w:ascii="Times New Roman" w:hAnsi="Times New Roman" w:cs="Times New Roman"/>
          <w:sz w:val="24"/>
          <w:szCs w:val="24"/>
        </w:rPr>
        <w:t xml:space="preserve">d’un </w:t>
      </w:r>
      <w:r>
        <w:rPr>
          <w:rFonts w:ascii="Times New Roman" w:hAnsi="Times New Roman" w:cs="Times New Roman"/>
          <w:sz w:val="24"/>
          <w:szCs w:val="24"/>
        </w:rPr>
        <w:t>instrument conventionnel ou législatif sur l’</w:t>
      </w:r>
      <w:r w:rsidRPr="00A53C93">
        <w:rPr>
          <w:rFonts w:ascii="Times New Roman" w:hAnsi="Times New Roman" w:cs="Times New Roman"/>
          <w:sz w:val="24"/>
          <w:szCs w:val="24"/>
        </w:rPr>
        <w:t xml:space="preserve">investissement. Toutefois, à ce jour </w:t>
      </w:r>
      <w:r>
        <w:rPr>
          <w:rFonts w:ascii="Times New Roman" w:hAnsi="Times New Roman" w:cs="Times New Roman"/>
          <w:sz w:val="24"/>
          <w:szCs w:val="24"/>
        </w:rPr>
        <w:t xml:space="preserve">la confiscation </w:t>
      </w:r>
      <w:r w:rsidRPr="00A53C93">
        <w:rPr>
          <w:rFonts w:ascii="Times New Roman" w:hAnsi="Times New Roman" w:cs="Times New Roman"/>
          <w:sz w:val="24"/>
          <w:szCs w:val="24"/>
        </w:rPr>
        <w:t xml:space="preserve">n’a </w:t>
      </w:r>
      <w:r>
        <w:rPr>
          <w:rFonts w:ascii="Times New Roman" w:hAnsi="Times New Roman" w:cs="Times New Roman"/>
          <w:sz w:val="24"/>
          <w:szCs w:val="24"/>
        </w:rPr>
        <w:t>concernée que les tunisiens</w:t>
      </w:r>
      <w:r w:rsidRPr="00A53C93">
        <w:rPr>
          <w:rFonts w:ascii="Times New Roman" w:hAnsi="Times New Roman" w:cs="Times New Roman"/>
          <w:sz w:val="24"/>
          <w:szCs w:val="24"/>
        </w:rPr>
        <w:t>.</w:t>
      </w:r>
    </w:p>
    <w:p w:rsidR="005273ED" w:rsidRPr="00A53C93"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fr-FR"/>
        </w:rPr>
        <w:lastRenderedPageBreak/>
        <w:t>Sur le fond, le décret-</w:t>
      </w:r>
      <w:r w:rsidRPr="00575CF1">
        <w:rPr>
          <w:rFonts w:ascii="Times New Roman" w:hAnsi="Times New Roman" w:cs="Times New Roman"/>
          <w:sz w:val="24"/>
          <w:szCs w:val="24"/>
          <w:lang w:eastAsia="fr-FR"/>
        </w:rPr>
        <w:t xml:space="preserve">loi n° 2011-13 instaure une commission dénommée commission de confiscation auprès du ministère des domaines de l’Etat et des affaires foncières </w:t>
      </w:r>
      <w:r>
        <w:rPr>
          <w:rFonts w:ascii="Times New Roman" w:hAnsi="Times New Roman" w:cs="Times New Roman"/>
          <w:sz w:val="24"/>
          <w:szCs w:val="24"/>
          <w:lang w:eastAsia="fr-FR"/>
        </w:rPr>
        <w:t xml:space="preserve">(Article 3). Il </w:t>
      </w:r>
      <w:r w:rsidRPr="00575CF1">
        <w:rPr>
          <w:rFonts w:ascii="Times New Roman" w:hAnsi="Times New Roman" w:cs="Times New Roman"/>
          <w:sz w:val="24"/>
          <w:szCs w:val="24"/>
          <w:lang w:eastAsia="fr-FR"/>
        </w:rPr>
        <w:t xml:space="preserve">oblige dans son article 2, tout détenteur, quelle que soit sa qualité, de biens meubles ou immeubles, droits, obligations, valeurs et titres revenant, directement ou indirectement, aux personnes désignées ainsi que tout débiteur de ces valeurs, titres ou biens, quelle que soit leur nature, à l’égard des mêmes personnes, de les déclarer à la commission dans un délai ne dépassant pas </w:t>
      </w:r>
      <w:r>
        <w:rPr>
          <w:rFonts w:ascii="Times New Roman" w:hAnsi="Times New Roman" w:cs="Times New Roman"/>
          <w:sz w:val="24"/>
          <w:szCs w:val="24"/>
          <w:lang w:eastAsia="fr-FR"/>
        </w:rPr>
        <w:t>trois</w:t>
      </w:r>
      <w:r w:rsidRPr="00575CF1">
        <w:rPr>
          <w:rFonts w:ascii="Times New Roman" w:hAnsi="Times New Roman" w:cs="Times New Roman"/>
          <w:sz w:val="24"/>
          <w:szCs w:val="24"/>
          <w:lang w:eastAsia="fr-FR"/>
        </w:rPr>
        <w:t xml:space="preserve"> mois. A défaut, la personne défaillante sera considérée comme débiteur de l’Etat à concurrence des biens, des valeurs, des montants et des droits non déclarés majorés des intérêts et des pénalités dus conformément à la législation en vigueur.</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D47C0C">
      <w:p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L</w:t>
      </w:r>
      <w:r w:rsidRPr="00575CF1">
        <w:rPr>
          <w:rFonts w:ascii="Times New Roman" w:hAnsi="Times New Roman" w:cs="Times New Roman"/>
          <w:sz w:val="24"/>
          <w:szCs w:val="24"/>
          <w:lang w:eastAsia="fr-FR"/>
        </w:rPr>
        <w:t xml:space="preserve">’article 9 </w:t>
      </w:r>
      <w:r>
        <w:rPr>
          <w:rFonts w:ascii="Times New Roman" w:hAnsi="Times New Roman" w:cs="Times New Roman"/>
          <w:sz w:val="24"/>
          <w:szCs w:val="24"/>
          <w:lang w:eastAsia="fr-FR"/>
        </w:rPr>
        <w:t>de ce décret-loi pré</w:t>
      </w:r>
      <w:r w:rsidRPr="00575CF1">
        <w:rPr>
          <w:rFonts w:ascii="Times New Roman" w:hAnsi="Times New Roman" w:cs="Times New Roman"/>
          <w:sz w:val="24"/>
          <w:szCs w:val="24"/>
          <w:lang w:eastAsia="fr-FR"/>
        </w:rPr>
        <w:t>voit que sont nuls de plein droit, inopposable à l’Etat tous les actes à titre onéreux ou gratuit ainsi que toutes les obligations et conventions contractés à compter du 14 janvier 2011- date ou le président déchu a fui le pays- ayant pour objet les biens, immeubles ou meubles appartenant aux personnes confisquées. Il s’agit d’une nullité rétroactive. Si ces conventions sont conclues avec des investisseurs étrangers, un débat sur la compatibilité de ce décret</w:t>
      </w:r>
      <w:r>
        <w:rPr>
          <w:rFonts w:ascii="Times New Roman" w:hAnsi="Times New Roman" w:cs="Times New Roman"/>
          <w:sz w:val="24"/>
          <w:szCs w:val="24"/>
          <w:lang w:eastAsia="fr-FR"/>
        </w:rPr>
        <w:t>-loi</w:t>
      </w:r>
      <w:r w:rsidRPr="00575CF1">
        <w:rPr>
          <w:rFonts w:ascii="Times New Roman" w:hAnsi="Times New Roman" w:cs="Times New Roman"/>
          <w:sz w:val="24"/>
          <w:szCs w:val="24"/>
          <w:lang w:eastAsia="fr-FR"/>
        </w:rPr>
        <w:t xml:space="preserve"> avec les traités d’investissement n’est pas </w:t>
      </w:r>
      <w:r>
        <w:rPr>
          <w:rFonts w:ascii="Times New Roman" w:hAnsi="Times New Roman" w:cs="Times New Roman"/>
          <w:sz w:val="24"/>
          <w:szCs w:val="24"/>
          <w:lang w:eastAsia="fr-FR"/>
        </w:rPr>
        <w:t>à exclure</w:t>
      </w:r>
      <w:r w:rsidRPr="00575CF1">
        <w:rPr>
          <w:rFonts w:ascii="Times New Roman" w:hAnsi="Times New Roman" w:cs="Times New Roman"/>
          <w:sz w:val="24"/>
          <w:szCs w:val="24"/>
          <w:lang w:eastAsia="fr-FR"/>
        </w:rPr>
        <w:t>. Ce débat se pose d’autant plus</w:t>
      </w:r>
      <w:r>
        <w:rPr>
          <w:rFonts w:ascii="Times New Roman" w:hAnsi="Times New Roman" w:cs="Times New Roman"/>
          <w:sz w:val="24"/>
          <w:szCs w:val="24"/>
          <w:lang w:eastAsia="fr-FR"/>
        </w:rPr>
        <w:t xml:space="preserve"> qu’aucune disposition du texte n’accorde aux </w:t>
      </w:r>
      <w:r w:rsidRPr="00575CF1">
        <w:rPr>
          <w:rFonts w:ascii="Times New Roman" w:hAnsi="Times New Roman" w:cs="Times New Roman"/>
          <w:sz w:val="24"/>
          <w:szCs w:val="24"/>
          <w:lang w:eastAsia="fr-FR"/>
        </w:rPr>
        <w:t>personnes</w:t>
      </w:r>
      <w:r>
        <w:rPr>
          <w:rFonts w:ascii="Times New Roman" w:hAnsi="Times New Roman" w:cs="Times New Roman"/>
          <w:sz w:val="24"/>
          <w:szCs w:val="24"/>
          <w:lang w:eastAsia="fr-FR"/>
        </w:rPr>
        <w:t xml:space="preserve"> dont les avoirs sont confisqué</w:t>
      </w:r>
      <w:r w:rsidRPr="00575CF1">
        <w:rPr>
          <w:rFonts w:ascii="Times New Roman" w:hAnsi="Times New Roman" w:cs="Times New Roman"/>
          <w:sz w:val="24"/>
          <w:szCs w:val="24"/>
          <w:lang w:eastAsia="fr-FR"/>
        </w:rPr>
        <w:t xml:space="preserve">s </w:t>
      </w:r>
      <w:r>
        <w:rPr>
          <w:rFonts w:ascii="Times New Roman" w:hAnsi="Times New Roman" w:cs="Times New Roman"/>
          <w:sz w:val="24"/>
          <w:szCs w:val="24"/>
          <w:lang w:eastAsia="fr-FR"/>
        </w:rPr>
        <w:t xml:space="preserve">le droit de contester les mesures prises </w:t>
      </w:r>
      <w:r w:rsidRPr="00575CF1">
        <w:rPr>
          <w:rFonts w:ascii="Times New Roman" w:hAnsi="Times New Roman" w:cs="Times New Roman"/>
          <w:sz w:val="24"/>
          <w:szCs w:val="24"/>
          <w:lang w:eastAsia="fr-FR"/>
        </w:rPr>
        <w:t xml:space="preserve">devant les tribunaux. </w:t>
      </w:r>
    </w:p>
    <w:p w:rsidR="005273ED" w:rsidRPr="00575CF1" w:rsidRDefault="005273ED" w:rsidP="00B2134D">
      <w:pPr>
        <w:spacing w:after="0" w:line="240" w:lineRule="auto"/>
        <w:jc w:val="both"/>
        <w:rPr>
          <w:rFonts w:ascii="Times New Roman" w:hAnsi="Times New Roman" w:cs="Times New Roman"/>
          <w:sz w:val="24"/>
          <w:szCs w:val="24"/>
          <w:lang w:eastAsia="fr-FR"/>
        </w:rPr>
      </w:pPr>
    </w:p>
    <w:p w:rsidR="005273ED" w:rsidRDefault="005273ED" w:rsidP="00B2134D">
      <w:pPr>
        <w:pStyle w:val="Paragraphedeliste"/>
        <w:numPr>
          <w:ilvl w:val="0"/>
          <w:numId w:val="10"/>
        </w:numPr>
        <w:spacing w:after="0" w:line="240" w:lineRule="auto"/>
        <w:jc w:val="both"/>
        <w:rPr>
          <w:rFonts w:ascii="Times New Roman" w:hAnsi="Times New Roman" w:cs="Times New Roman"/>
          <w:b/>
          <w:bCs/>
          <w:sz w:val="24"/>
          <w:szCs w:val="24"/>
          <w:lang w:eastAsia="fr-FR"/>
        </w:rPr>
      </w:pPr>
      <w:r w:rsidRPr="007A4F0B">
        <w:rPr>
          <w:rFonts w:ascii="Times New Roman" w:hAnsi="Times New Roman" w:cs="Times New Roman"/>
          <w:b/>
          <w:bCs/>
          <w:sz w:val="24"/>
          <w:szCs w:val="24"/>
          <w:lang w:eastAsia="fr-FR"/>
        </w:rPr>
        <w:t xml:space="preserve">Les demandes de réparation du dommage subi à la suite de la révolution </w:t>
      </w:r>
    </w:p>
    <w:p w:rsidR="005273ED" w:rsidRPr="007A4F0B" w:rsidRDefault="005273ED" w:rsidP="00B2134D">
      <w:pPr>
        <w:pStyle w:val="Paragraphedeliste"/>
        <w:spacing w:after="0" w:line="240" w:lineRule="auto"/>
        <w:ind w:left="360"/>
        <w:jc w:val="both"/>
        <w:rPr>
          <w:rFonts w:ascii="Times New Roman" w:hAnsi="Times New Roman" w:cs="Times New Roman"/>
          <w:b/>
          <w:bCs/>
          <w:sz w:val="24"/>
          <w:szCs w:val="24"/>
          <w:lang w:eastAsia="fr-FR"/>
        </w:rPr>
      </w:pPr>
    </w:p>
    <w:p w:rsidR="005273ED" w:rsidRDefault="005273ED" w:rsidP="00D95229">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Les dommages survenant en raison d’une révolution </w:t>
      </w:r>
      <w:r>
        <w:rPr>
          <w:rFonts w:ascii="Times New Roman" w:hAnsi="Times New Roman" w:cs="Times New Roman"/>
          <w:sz w:val="24"/>
          <w:szCs w:val="24"/>
        </w:rPr>
        <w:t>sont régis</w:t>
      </w:r>
      <w:r w:rsidRPr="00575CF1">
        <w:rPr>
          <w:rFonts w:ascii="Times New Roman" w:hAnsi="Times New Roman" w:cs="Times New Roman"/>
          <w:sz w:val="24"/>
          <w:szCs w:val="24"/>
        </w:rPr>
        <w:t xml:space="preserve"> par des clauses spéciales dans les traités d’investissement</w:t>
      </w:r>
      <w:r>
        <w:rPr>
          <w:rFonts w:ascii="Times New Roman" w:hAnsi="Times New Roman" w:cs="Times New Roman"/>
          <w:sz w:val="24"/>
          <w:szCs w:val="24"/>
        </w:rPr>
        <w:t>, dont l’application et le contrôle sont confiés à l’arbitre international</w:t>
      </w:r>
      <w:r w:rsidRPr="00575CF1">
        <w:rPr>
          <w:rFonts w:ascii="Times New Roman" w:hAnsi="Times New Roman" w:cs="Times New Roman"/>
          <w:sz w:val="24"/>
          <w:szCs w:val="24"/>
        </w:rPr>
        <w:t xml:space="preserve">. Il s’agit de ce qu’on appel, </w:t>
      </w:r>
      <w:r w:rsidRPr="00576D8F">
        <w:rPr>
          <w:rFonts w:ascii="Times New Roman" w:hAnsi="Times New Roman" w:cs="Times New Roman"/>
          <w:i/>
          <w:iCs/>
          <w:sz w:val="24"/>
          <w:szCs w:val="24"/>
        </w:rPr>
        <w:t>« les clauses relatives à la perte de l’investissement à la suite d’un phénomène naturel, d’une perturbation civile, révolution ou d’un conflit armé</w:t>
      </w:r>
      <w:r>
        <w:rPr>
          <w:rFonts w:ascii="Times New Roman" w:hAnsi="Times New Roman" w:cs="Times New Roman"/>
          <w:sz w:val="24"/>
          <w:szCs w:val="24"/>
        </w:rPr>
        <w:t> »</w:t>
      </w:r>
      <w:r w:rsidRPr="00575CF1">
        <w:rPr>
          <w:rFonts w:ascii="Times New Roman" w:hAnsi="Times New Roman" w:cs="Times New Roman"/>
          <w:sz w:val="24"/>
          <w:szCs w:val="24"/>
        </w:rPr>
        <w:t>, clauses rarement utilisées en matière d’arbitrage relatif aux investissements. Quels sont ces clauses et quel est leur intérêt ?</w:t>
      </w:r>
    </w:p>
    <w:p w:rsidR="005273ED" w:rsidRDefault="005273ED" w:rsidP="00B2134D">
      <w:p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 </w:t>
      </w:r>
    </w:p>
    <w:p w:rsidR="005273ED" w:rsidRDefault="005273ED" w:rsidP="00B16CD1">
      <w:pPr>
        <w:spacing w:after="0" w:line="240" w:lineRule="auto"/>
        <w:jc w:val="both"/>
        <w:rPr>
          <w:rFonts w:ascii="Times New Roman" w:hAnsi="Times New Roman" w:cs="Times New Roman"/>
          <w:sz w:val="24"/>
          <w:szCs w:val="24"/>
        </w:rPr>
      </w:pPr>
      <w:r w:rsidRPr="007A4F0B">
        <w:rPr>
          <w:rFonts w:ascii="Times New Roman" w:hAnsi="Times New Roman" w:cs="Times New Roman"/>
          <w:sz w:val="24"/>
          <w:szCs w:val="24"/>
        </w:rPr>
        <w:t>En droit international coutumier l’Etat ne peut pas être responsable en cas de révolution populaire, catastrophe naturelle, état de guerre, état d’urgence nationale et trouble. En effet, il a été soutenu que les dommages causés par ces événements résultaient, soit d’actes que l’Etat s’est vu contraint de réaliser pour assurer sa propre sauvegarde (guerres et troubles), soit de faits échappant à l’emprise humaine (catastrophes naturelles), et qu’ils constituaient, en conséquence, un cas accidentel ou un cas de force majeure que l’on ne pouvait pas imputer à l’Etat</w:t>
      </w:r>
      <w:r w:rsidRPr="007A4F0B">
        <w:rPr>
          <w:rStyle w:val="Appelnotedebasdep"/>
          <w:rFonts w:ascii="Times New Roman" w:hAnsi="Times New Roman"/>
          <w:sz w:val="24"/>
          <w:szCs w:val="24"/>
        </w:rPr>
        <w:footnoteReference w:id="9"/>
      </w:r>
      <w:r w:rsidRPr="007A4F0B">
        <w:rPr>
          <w:rFonts w:ascii="Times New Roman" w:hAnsi="Times New Roman" w:cs="Times New Roman"/>
          <w:sz w:val="24"/>
          <w:szCs w:val="24"/>
        </w:rPr>
        <w:t>.</w:t>
      </w:r>
    </w:p>
    <w:p w:rsidR="005273ED" w:rsidRPr="007A4F0B"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sidRPr="007A4F0B">
        <w:rPr>
          <w:rFonts w:ascii="Times New Roman" w:hAnsi="Times New Roman" w:cs="Times New Roman"/>
          <w:sz w:val="24"/>
          <w:szCs w:val="24"/>
        </w:rPr>
        <w:t>Les traités d’investissement limitent la portée cette irresponsabilité. Ils prévoient le traitement que l’Etat doit accorder à l’investisseur en présence de l’un de ces événements</w:t>
      </w:r>
      <w:r>
        <w:rPr>
          <w:rStyle w:val="Appelnotedebasdep"/>
          <w:rFonts w:ascii="Times New Roman" w:hAnsi="Times New Roman"/>
          <w:sz w:val="24"/>
          <w:szCs w:val="24"/>
        </w:rPr>
        <w:footnoteReference w:id="10"/>
      </w:r>
      <w:r w:rsidRPr="007A4F0B">
        <w:rPr>
          <w:rFonts w:ascii="Times New Roman" w:hAnsi="Times New Roman" w:cs="Times New Roman"/>
          <w:sz w:val="24"/>
          <w:szCs w:val="24"/>
        </w:rPr>
        <w:t>. Il convient ici de distinguer deux catégories de rédactions.</w:t>
      </w:r>
    </w:p>
    <w:p w:rsidR="005273ED" w:rsidRPr="007A4F0B"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sidRPr="007A4F0B">
        <w:rPr>
          <w:rFonts w:ascii="Times New Roman" w:hAnsi="Times New Roman" w:cs="Times New Roman"/>
          <w:sz w:val="24"/>
          <w:szCs w:val="24"/>
        </w:rPr>
        <w:t>La première, que l’on rencontre dans les TBI conclus par la France, le Canada et la Suisse, oblige l’Etat à traiter les dommages occasionnés par ces événements conformément aux standards du traitement national et du traitement de la Nation la Plus favorisée (« NPF »). Ainsi le TBI Tunisie-Pays-Bas (1998) prévoit que « </w:t>
      </w:r>
      <w:r w:rsidRPr="007A4F0B">
        <w:rPr>
          <w:rFonts w:ascii="Times New Roman" w:hAnsi="Times New Roman" w:cs="Times New Roman"/>
          <w:i/>
          <w:iCs/>
          <w:sz w:val="24"/>
          <w:szCs w:val="24"/>
        </w:rPr>
        <w:t xml:space="preserve">Les ressortissants d'une Partie contractante, dont les investissements effectués sur le territoire de l'autre Partie contractante </w:t>
      </w:r>
      <w:r w:rsidRPr="007A4F0B">
        <w:rPr>
          <w:rFonts w:ascii="Times New Roman" w:hAnsi="Times New Roman" w:cs="Times New Roman"/>
          <w:i/>
          <w:iCs/>
          <w:sz w:val="24"/>
          <w:szCs w:val="24"/>
        </w:rPr>
        <w:lastRenderedPageBreak/>
        <w:t>subissent des pertes du fait d'une guerre ou autre conflit armé, d'une révolution, d'un état d'urgence national, d'une rébellion, d'une insurrection ou de troubles, bénéficient de la part de ladite Partie contractante, en ce qui concerne la restitution, l'indemnisation, le dédommagement ou tout autre règlement, d'un traitement qui n'est pas moins favorable que celui que cette autre Partie contractante accorde à ses propres ressortissants ou aux ressortissants d'États tiers, en appliquant celui des deux traitements qui est le plus favorable aux ressortissants intéressés</w:t>
      </w:r>
      <w:r w:rsidRPr="007A4F0B">
        <w:rPr>
          <w:rFonts w:ascii="Times New Roman" w:hAnsi="Times New Roman" w:cs="Times New Roman"/>
          <w:sz w:val="24"/>
          <w:szCs w:val="24"/>
        </w:rPr>
        <w:t> »</w:t>
      </w:r>
      <w:r w:rsidRPr="007A4F0B">
        <w:rPr>
          <w:rStyle w:val="Appelnotedebasdep"/>
          <w:rFonts w:ascii="Times New Roman" w:hAnsi="Times New Roman"/>
          <w:sz w:val="24"/>
          <w:szCs w:val="24"/>
        </w:rPr>
        <w:footnoteReference w:id="11"/>
      </w:r>
      <w:r w:rsidRPr="007A4F0B">
        <w:rPr>
          <w:rFonts w:ascii="Times New Roman" w:hAnsi="Times New Roman" w:cs="Times New Roman"/>
          <w:sz w:val="24"/>
          <w:szCs w:val="24"/>
        </w:rPr>
        <w:t>. On trouve la même disposition dans le TBI entre la France et la Tunisie de 1997 (article 5-3)</w:t>
      </w:r>
      <w:r w:rsidRPr="007A4F0B">
        <w:rPr>
          <w:rStyle w:val="Appelnotedebasdep"/>
          <w:rFonts w:ascii="Times New Roman" w:hAnsi="Times New Roman"/>
          <w:sz w:val="24"/>
          <w:szCs w:val="24"/>
        </w:rPr>
        <w:footnoteReference w:id="12"/>
      </w:r>
      <w:r w:rsidRPr="007A4F0B">
        <w:rPr>
          <w:rFonts w:ascii="Times New Roman" w:hAnsi="Times New Roman" w:cs="Times New Roman"/>
          <w:sz w:val="24"/>
          <w:szCs w:val="24"/>
        </w:rPr>
        <w:t xml:space="preserve">. D’autres traités </w:t>
      </w:r>
      <w:r>
        <w:rPr>
          <w:rFonts w:ascii="Times New Roman" w:hAnsi="Times New Roman" w:cs="Times New Roman"/>
          <w:sz w:val="24"/>
          <w:szCs w:val="24"/>
        </w:rPr>
        <w:t xml:space="preserve">conclus par la Tunisie </w:t>
      </w:r>
      <w:r w:rsidRPr="007A4F0B">
        <w:rPr>
          <w:rFonts w:ascii="Times New Roman" w:hAnsi="Times New Roman" w:cs="Times New Roman"/>
          <w:sz w:val="24"/>
          <w:szCs w:val="24"/>
        </w:rPr>
        <w:t>ajoutent que le montant de l’indemnisation accordée doit être librement transférable</w:t>
      </w:r>
      <w:r w:rsidRPr="007A4F0B">
        <w:rPr>
          <w:rStyle w:val="Appelnotedebasdep"/>
          <w:rFonts w:ascii="Times New Roman" w:hAnsi="Times New Roman"/>
          <w:sz w:val="24"/>
          <w:szCs w:val="24"/>
        </w:rPr>
        <w:footnoteReference w:id="13"/>
      </w:r>
      <w:r w:rsidRPr="007A4F0B">
        <w:rPr>
          <w:rFonts w:ascii="Times New Roman" w:hAnsi="Times New Roman" w:cs="Times New Roman"/>
          <w:sz w:val="24"/>
          <w:szCs w:val="24"/>
        </w:rPr>
        <w:t xml:space="preserve">.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7A4F0B">
        <w:rPr>
          <w:rFonts w:ascii="Times New Roman" w:hAnsi="Times New Roman" w:cs="Times New Roman"/>
          <w:sz w:val="24"/>
          <w:szCs w:val="24"/>
        </w:rPr>
        <w:t>l en découle que l’Etat n’est obligé de payer une indemnisation que dans la mesure où il le fait pour ses propres nationaux ou les ressortissants d’un Etat tiers</w:t>
      </w:r>
      <w:r>
        <w:rPr>
          <w:rStyle w:val="Appelnotedebasdep"/>
          <w:rFonts w:ascii="Times New Roman" w:hAnsi="Times New Roman"/>
          <w:sz w:val="24"/>
          <w:szCs w:val="24"/>
        </w:rPr>
        <w:footnoteReference w:id="14"/>
      </w:r>
      <w:r w:rsidRPr="007A4F0B">
        <w:rPr>
          <w:rFonts w:ascii="Times New Roman" w:hAnsi="Times New Roman" w:cs="Times New Roman"/>
          <w:sz w:val="24"/>
          <w:szCs w:val="24"/>
        </w:rPr>
        <w:t>. A proprement parler, cette disposition n’ajoute rien si une clause de traitement national ou de la NPF générale est déjà prévue</w:t>
      </w:r>
      <w:r>
        <w:rPr>
          <w:rFonts w:ascii="Times New Roman" w:hAnsi="Times New Roman" w:cs="Times New Roman"/>
          <w:sz w:val="24"/>
          <w:szCs w:val="24"/>
        </w:rPr>
        <w:t xml:space="preserve"> dans le traité</w:t>
      </w:r>
      <w:r w:rsidRPr="007A4F0B">
        <w:rPr>
          <w:rStyle w:val="Appelnotedebasdep"/>
          <w:rFonts w:ascii="Times New Roman" w:hAnsi="Times New Roman"/>
          <w:sz w:val="24"/>
          <w:szCs w:val="24"/>
        </w:rPr>
        <w:footnoteReference w:id="15"/>
      </w:r>
      <w:r w:rsidRPr="007A4F0B">
        <w:rPr>
          <w:rFonts w:ascii="Times New Roman" w:hAnsi="Times New Roman" w:cs="Times New Roman"/>
          <w:sz w:val="24"/>
          <w:szCs w:val="24"/>
        </w:rPr>
        <w:t xml:space="preserve">. </w:t>
      </w:r>
    </w:p>
    <w:p w:rsidR="005273ED" w:rsidRPr="00EE734C" w:rsidRDefault="005273ED" w:rsidP="00B2134D">
      <w:pPr>
        <w:spacing w:after="0" w:line="240" w:lineRule="auto"/>
        <w:jc w:val="both"/>
        <w:rPr>
          <w:rFonts w:ascii="Times New Roman" w:hAnsi="Times New Roman" w:cs="Times New Roman"/>
          <w:sz w:val="24"/>
          <w:szCs w:val="24"/>
        </w:rPr>
      </w:pPr>
    </w:p>
    <w:p w:rsidR="005273ED" w:rsidRPr="00515902" w:rsidRDefault="005273ED" w:rsidP="00B16CD1">
      <w:pPr>
        <w:spacing w:after="0" w:line="240" w:lineRule="auto"/>
        <w:jc w:val="both"/>
        <w:rPr>
          <w:rFonts w:ascii="Times New Roman" w:hAnsi="Times New Roman" w:cs="Times New Roman"/>
          <w:sz w:val="24"/>
          <w:szCs w:val="24"/>
        </w:rPr>
      </w:pPr>
      <w:r w:rsidRPr="00515902">
        <w:rPr>
          <w:rFonts w:ascii="Times New Roman" w:hAnsi="Times New Roman" w:cs="Times New Roman"/>
          <w:sz w:val="24"/>
          <w:szCs w:val="24"/>
        </w:rPr>
        <w:t xml:space="preserve">La deuxième rédaction se </w:t>
      </w:r>
      <w:r>
        <w:rPr>
          <w:rFonts w:ascii="Times New Roman" w:hAnsi="Times New Roman" w:cs="Times New Roman"/>
          <w:sz w:val="24"/>
          <w:szCs w:val="24"/>
        </w:rPr>
        <w:t>re</w:t>
      </w:r>
      <w:r w:rsidRPr="00515902">
        <w:rPr>
          <w:rFonts w:ascii="Times New Roman" w:hAnsi="Times New Roman" w:cs="Times New Roman"/>
          <w:sz w:val="24"/>
          <w:szCs w:val="24"/>
        </w:rPr>
        <w:t xml:space="preserve">trouve dans les TBI américains et anglais. Celle-ci est comparable à la première en ce qu’elle accorde le traitement national et le traitement de la NPF en cas de dommage survenu à l’occasion de l’un des événements visés. Néanmoins, elle s’en distingue en ce que ce traitement sera écarté au profit d’une indemnisation prompte, adéquate et effective, c’est-à-dire selon des standards identiques à ceux qui sont appliqués pour l’indemnité d’une expropriation, </w:t>
      </w:r>
      <w:r>
        <w:rPr>
          <w:rFonts w:ascii="Times New Roman" w:hAnsi="Times New Roman" w:cs="Times New Roman"/>
          <w:sz w:val="24"/>
          <w:szCs w:val="24"/>
        </w:rPr>
        <w:t xml:space="preserve">lorsqu’il y a </w:t>
      </w:r>
      <w:r w:rsidRPr="00515902">
        <w:rPr>
          <w:rFonts w:ascii="Times New Roman" w:hAnsi="Times New Roman" w:cs="Times New Roman"/>
          <w:sz w:val="24"/>
          <w:szCs w:val="24"/>
        </w:rPr>
        <w:t xml:space="preserve">réquisition de l’investissement </w:t>
      </w:r>
      <w:r>
        <w:rPr>
          <w:rFonts w:ascii="Times New Roman" w:hAnsi="Times New Roman" w:cs="Times New Roman"/>
          <w:sz w:val="24"/>
          <w:szCs w:val="24"/>
        </w:rPr>
        <w:t xml:space="preserve">par </w:t>
      </w:r>
      <w:r w:rsidRPr="00786ECB">
        <w:rPr>
          <w:rFonts w:ascii="Times New Roman" w:hAnsi="Times New Roman" w:cs="Times New Roman"/>
          <w:iCs/>
          <w:sz w:val="24"/>
          <w:szCs w:val="24"/>
        </w:rPr>
        <w:t>les forces ou les autorités</w:t>
      </w:r>
      <w:r w:rsidRPr="00515902">
        <w:rPr>
          <w:rFonts w:ascii="Times New Roman" w:hAnsi="Times New Roman" w:cs="Times New Roman"/>
          <w:i/>
          <w:sz w:val="24"/>
          <w:szCs w:val="24"/>
        </w:rPr>
        <w:t xml:space="preserve"> </w:t>
      </w:r>
      <w:r>
        <w:rPr>
          <w:rFonts w:ascii="Times New Roman" w:hAnsi="Times New Roman" w:cs="Times New Roman"/>
          <w:sz w:val="24"/>
          <w:szCs w:val="24"/>
        </w:rPr>
        <w:t xml:space="preserve">de l’Etat ou </w:t>
      </w:r>
      <w:r w:rsidRPr="00515902">
        <w:rPr>
          <w:rFonts w:ascii="Times New Roman" w:hAnsi="Times New Roman" w:cs="Times New Roman"/>
          <w:sz w:val="24"/>
          <w:szCs w:val="24"/>
        </w:rPr>
        <w:t xml:space="preserve">destruction </w:t>
      </w:r>
      <w:r>
        <w:rPr>
          <w:rFonts w:ascii="Times New Roman" w:hAnsi="Times New Roman" w:cs="Times New Roman"/>
          <w:sz w:val="24"/>
          <w:szCs w:val="24"/>
        </w:rPr>
        <w:t xml:space="preserve">de l’investissement par ces forces ou autorité alors que cette mesure n’est pas requise </w:t>
      </w:r>
      <w:r w:rsidRPr="00515902">
        <w:rPr>
          <w:rFonts w:ascii="Times New Roman" w:hAnsi="Times New Roman" w:cs="Times New Roman"/>
          <w:sz w:val="24"/>
          <w:szCs w:val="24"/>
        </w:rPr>
        <w:t xml:space="preserve">par la nécessité de la situation. L’article IV du TBI Etats-Unis-Croatie (1996) se prononce en ce sens. </w:t>
      </w:r>
      <w:r w:rsidRPr="00515902">
        <w:rPr>
          <w:rFonts w:ascii="Times New Roman" w:hAnsi="Times New Roman" w:cs="Times New Roman"/>
          <w:sz w:val="24"/>
          <w:szCs w:val="24"/>
          <w:lang w:val="en-US"/>
        </w:rPr>
        <w:t xml:space="preserve">Il dispose, en premier lieu </w:t>
      </w:r>
      <w:proofErr w:type="spellStart"/>
      <w:r w:rsidRPr="00515902">
        <w:rPr>
          <w:rFonts w:ascii="Times New Roman" w:hAnsi="Times New Roman" w:cs="Times New Roman"/>
          <w:sz w:val="24"/>
          <w:szCs w:val="24"/>
          <w:lang w:val="en-US"/>
        </w:rPr>
        <w:t>que</w:t>
      </w:r>
      <w:proofErr w:type="spellEnd"/>
      <w:r w:rsidRPr="00515902">
        <w:rPr>
          <w:rFonts w:ascii="Times New Roman" w:hAnsi="Times New Roman" w:cs="Times New Roman"/>
          <w:sz w:val="24"/>
          <w:szCs w:val="24"/>
          <w:lang w:val="en-US"/>
        </w:rPr>
        <w:t> : « </w:t>
      </w:r>
      <w:r w:rsidRPr="00515902">
        <w:rPr>
          <w:rFonts w:ascii="Times New Roman" w:hAnsi="Times New Roman" w:cs="Times New Roman"/>
          <w:i/>
          <w:sz w:val="24"/>
          <w:szCs w:val="24"/>
          <w:lang w:val="en-US"/>
        </w:rPr>
        <w:t xml:space="preserve">Each Party shall accord national and most favored nation treatment to covered investments as regards any measure relating to losses that investments suffer in its territory owing to war or other armed conflict, revolution, state of national emergency, insurrection, civil disturbance, or similar events </w:t>
      </w:r>
      <w:r w:rsidRPr="00515902">
        <w:rPr>
          <w:rFonts w:ascii="Times New Roman" w:hAnsi="Times New Roman" w:cs="Times New Roman"/>
          <w:sz w:val="24"/>
          <w:szCs w:val="24"/>
          <w:lang w:val="en-US"/>
        </w:rPr>
        <w:t xml:space="preserve">». </w:t>
      </w:r>
      <w:proofErr w:type="spellStart"/>
      <w:r w:rsidRPr="00515902">
        <w:rPr>
          <w:rFonts w:ascii="Times New Roman" w:hAnsi="Times New Roman" w:cs="Times New Roman"/>
          <w:sz w:val="24"/>
          <w:szCs w:val="24"/>
          <w:lang w:val="en-US"/>
        </w:rPr>
        <w:t>Toutefois</w:t>
      </w:r>
      <w:proofErr w:type="spellEnd"/>
      <w:r w:rsidRPr="00515902">
        <w:rPr>
          <w:rFonts w:ascii="Times New Roman" w:hAnsi="Times New Roman" w:cs="Times New Roman"/>
          <w:sz w:val="24"/>
          <w:szCs w:val="24"/>
          <w:lang w:val="en-US"/>
        </w:rPr>
        <w:t xml:space="preserve">, </w:t>
      </w:r>
      <w:proofErr w:type="spellStart"/>
      <w:r w:rsidRPr="00515902">
        <w:rPr>
          <w:rFonts w:ascii="Times New Roman" w:hAnsi="Times New Roman" w:cs="Times New Roman"/>
          <w:sz w:val="24"/>
          <w:szCs w:val="24"/>
          <w:lang w:val="en-US"/>
        </w:rPr>
        <w:t>il</w:t>
      </w:r>
      <w:proofErr w:type="spellEnd"/>
      <w:r w:rsidRPr="00515902">
        <w:rPr>
          <w:rFonts w:ascii="Times New Roman" w:hAnsi="Times New Roman" w:cs="Times New Roman"/>
          <w:sz w:val="24"/>
          <w:szCs w:val="24"/>
          <w:lang w:val="en-US"/>
        </w:rPr>
        <w:t xml:space="preserve"> </w:t>
      </w:r>
      <w:proofErr w:type="spellStart"/>
      <w:r w:rsidRPr="00515902">
        <w:rPr>
          <w:rFonts w:ascii="Times New Roman" w:hAnsi="Times New Roman" w:cs="Times New Roman"/>
          <w:sz w:val="24"/>
          <w:szCs w:val="24"/>
          <w:lang w:val="en-US"/>
        </w:rPr>
        <w:t>ajoute</w:t>
      </w:r>
      <w:proofErr w:type="spellEnd"/>
      <w:r w:rsidRPr="00515902">
        <w:rPr>
          <w:rFonts w:ascii="Times New Roman" w:hAnsi="Times New Roman" w:cs="Times New Roman"/>
          <w:sz w:val="24"/>
          <w:szCs w:val="24"/>
          <w:lang w:val="en-US"/>
        </w:rPr>
        <w:t xml:space="preserve"> </w:t>
      </w:r>
      <w:proofErr w:type="spellStart"/>
      <w:r w:rsidRPr="00515902">
        <w:rPr>
          <w:rFonts w:ascii="Times New Roman" w:hAnsi="Times New Roman" w:cs="Times New Roman"/>
          <w:sz w:val="24"/>
          <w:szCs w:val="24"/>
          <w:lang w:val="en-US"/>
        </w:rPr>
        <w:t>ensuite</w:t>
      </w:r>
      <w:proofErr w:type="spellEnd"/>
      <w:r w:rsidRPr="00515902">
        <w:rPr>
          <w:rFonts w:ascii="Times New Roman" w:hAnsi="Times New Roman" w:cs="Times New Roman"/>
          <w:sz w:val="24"/>
          <w:szCs w:val="24"/>
          <w:lang w:val="en-US"/>
        </w:rPr>
        <w:t xml:space="preserve"> </w:t>
      </w:r>
      <w:proofErr w:type="spellStart"/>
      <w:r w:rsidRPr="00515902">
        <w:rPr>
          <w:rFonts w:ascii="Times New Roman" w:hAnsi="Times New Roman" w:cs="Times New Roman"/>
          <w:sz w:val="24"/>
          <w:szCs w:val="24"/>
          <w:lang w:val="en-US"/>
        </w:rPr>
        <w:t>que</w:t>
      </w:r>
      <w:proofErr w:type="spellEnd"/>
      <w:r w:rsidRPr="00515902">
        <w:rPr>
          <w:rFonts w:ascii="Times New Roman" w:hAnsi="Times New Roman" w:cs="Times New Roman"/>
          <w:sz w:val="24"/>
          <w:szCs w:val="24"/>
          <w:lang w:val="en-US"/>
        </w:rPr>
        <w:t xml:space="preserve"> « </w:t>
      </w:r>
      <w:r w:rsidRPr="00515902">
        <w:rPr>
          <w:rFonts w:ascii="Times New Roman" w:hAnsi="Times New Roman" w:cs="Times New Roman"/>
          <w:i/>
          <w:sz w:val="24"/>
          <w:szCs w:val="24"/>
          <w:lang w:val="en-US"/>
        </w:rPr>
        <w:t xml:space="preserve">Each Party shall accord restitution, or pay compensation in accordance with paragraphs 2 through 4 of Article III, [expropriation] in the event that covered investments suffer losses in its territory, owing to war or other armed conflict, revolution, state of national emergency, insurrection, civil disturbance, or similar events, that result from:  (a) requisitioning of all or part of such investments by the Party's forces or authorities, or  (b) destruction of all or part of such investments by the Party's forces or authorities that was not required by the necessity of the situation </w:t>
      </w:r>
      <w:r w:rsidRPr="00515902">
        <w:rPr>
          <w:rFonts w:ascii="Times New Roman" w:hAnsi="Times New Roman" w:cs="Times New Roman"/>
          <w:sz w:val="24"/>
          <w:szCs w:val="24"/>
          <w:lang w:val="en-US"/>
        </w:rPr>
        <w:t>»</w:t>
      </w:r>
      <w:r w:rsidRPr="00515902">
        <w:rPr>
          <w:rFonts w:ascii="Times New Roman" w:hAnsi="Times New Roman" w:cs="Times New Roman"/>
          <w:i/>
          <w:sz w:val="24"/>
          <w:szCs w:val="24"/>
          <w:lang w:val="en-US"/>
        </w:rPr>
        <w:t xml:space="preserve">. </w:t>
      </w:r>
      <w:r w:rsidRPr="00515902">
        <w:rPr>
          <w:rFonts w:ascii="Times New Roman" w:hAnsi="Times New Roman" w:cs="Times New Roman"/>
          <w:iCs/>
          <w:sz w:val="24"/>
          <w:szCs w:val="24"/>
        </w:rPr>
        <w:t>De même</w:t>
      </w:r>
      <w:r>
        <w:rPr>
          <w:rFonts w:ascii="Times New Roman" w:hAnsi="Times New Roman" w:cs="Times New Roman"/>
          <w:iCs/>
          <w:sz w:val="24"/>
          <w:szCs w:val="24"/>
        </w:rPr>
        <w:t>,</w:t>
      </w:r>
      <w:r w:rsidRPr="00515902">
        <w:rPr>
          <w:rFonts w:ascii="Times New Roman" w:hAnsi="Times New Roman" w:cs="Times New Roman"/>
          <w:iCs/>
          <w:sz w:val="24"/>
          <w:szCs w:val="24"/>
        </w:rPr>
        <w:t xml:space="preserve"> l’article 12 de la </w:t>
      </w:r>
      <w:r>
        <w:rPr>
          <w:rFonts w:ascii="Times New Roman" w:hAnsi="Times New Roman" w:cs="Times New Roman"/>
          <w:iCs/>
          <w:sz w:val="24"/>
          <w:szCs w:val="24"/>
        </w:rPr>
        <w:t>Charte</w:t>
      </w:r>
      <w:r w:rsidRPr="00515902">
        <w:rPr>
          <w:rFonts w:ascii="Times New Roman" w:hAnsi="Times New Roman" w:cs="Times New Roman"/>
          <w:iCs/>
          <w:sz w:val="24"/>
          <w:szCs w:val="24"/>
        </w:rPr>
        <w:t xml:space="preserve"> de </w:t>
      </w:r>
      <w:r>
        <w:rPr>
          <w:rFonts w:ascii="Times New Roman" w:hAnsi="Times New Roman" w:cs="Times New Roman"/>
          <w:iCs/>
          <w:sz w:val="24"/>
          <w:szCs w:val="24"/>
        </w:rPr>
        <w:t>l’Energie</w:t>
      </w:r>
      <w:r w:rsidRPr="00515902">
        <w:rPr>
          <w:rFonts w:ascii="Times New Roman" w:hAnsi="Times New Roman" w:cs="Times New Roman"/>
          <w:iCs/>
          <w:sz w:val="24"/>
          <w:szCs w:val="24"/>
        </w:rPr>
        <w:t>,</w:t>
      </w:r>
      <w:r w:rsidRPr="00515902">
        <w:rPr>
          <w:rFonts w:ascii="Times New Roman" w:hAnsi="Times New Roman" w:cs="Times New Roman"/>
          <w:sz w:val="24"/>
          <w:szCs w:val="24"/>
        </w:rPr>
        <w:t xml:space="preserve"> après avoir reconnu dans son paragraphe 1 au profit de l’investisseur qui a subi des pertes en raison d’une guerre ou de tout autre conflit armé, d’un état d’urgence nationale, de troubles civils ou d’autres événements civils, le bénéfice du </w:t>
      </w:r>
      <w:r>
        <w:rPr>
          <w:rFonts w:ascii="Times New Roman" w:hAnsi="Times New Roman" w:cs="Times New Roman"/>
          <w:sz w:val="24"/>
          <w:szCs w:val="24"/>
        </w:rPr>
        <w:t>traitement national</w:t>
      </w:r>
      <w:r w:rsidRPr="00515902">
        <w:rPr>
          <w:rFonts w:ascii="Times New Roman" w:hAnsi="Times New Roman" w:cs="Times New Roman"/>
          <w:sz w:val="24"/>
          <w:szCs w:val="24"/>
        </w:rPr>
        <w:t xml:space="preserve"> et du </w:t>
      </w:r>
      <w:r>
        <w:rPr>
          <w:rFonts w:ascii="Times New Roman" w:hAnsi="Times New Roman" w:cs="Times New Roman"/>
          <w:sz w:val="24"/>
          <w:szCs w:val="24"/>
        </w:rPr>
        <w:t xml:space="preserve">traitement de la </w:t>
      </w:r>
      <w:r w:rsidRPr="00515902">
        <w:rPr>
          <w:rFonts w:ascii="Times New Roman" w:hAnsi="Times New Roman" w:cs="Times New Roman"/>
          <w:sz w:val="24"/>
          <w:szCs w:val="24"/>
        </w:rPr>
        <w:t>NPF en ce qui concerne toute restitution, indemnisation ou compensation ou tout autre règlement, prévoit que « </w:t>
      </w:r>
      <w:r w:rsidRPr="00515902">
        <w:rPr>
          <w:rFonts w:ascii="Times New Roman" w:hAnsi="Times New Roman" w:cs="Times New Roman"/>
          <w:i/>
          <w:sz w:val="24"/>
          <w:szCs w:val="24"/>
        </w:rPr>
        <w:t>sans préjudice du paragraphe 1, un investisseur d’une partie contractante qui, dans une des situations visées audit paragraphe, subit des pertes dans la zone d’une autre partie contractante qui résulte :</w:t>
      </w:r>
    </w:p>
    <w:p w:rsidR="005273ED" w:rsidRPr="00515902" w:rsidRDefault="005273ED" w:rsidP="00B2134D">
      <w:pPr>
        <w:numPr>
          <w:ilvl w:val="0"/>
          <w:numId w:val="1"/>
        </w:numPr>
        <w:spacing w:after="0" w:line="240" w:lineRule="auto"/>
        <w:jc w:val="both"/>
        <w:rPr>
          <w:rFonts w:ascii="Times New Roman" w:hAnsi="Times New Roman" w:cs="Times New Roman"/>
          <w:i/>
          <w:sz w:val="24"/>
          <w:szCs w:val="24"/>
        </w:rPr>
      </w:pPr>
      <w:r w:rsidRPr="00515902">
        <w:rPr>
          <w:rFonts w:ascii="Times New Roman" w:hAnsi="Times New Roman" w:cs="Times New Roman"/>
          <w:i/>
          <w:sz w:val="24"/>
          <w:szCs w:val="24"/>
        </w:rPr>
        <w:lastRenderedPageBreak/>
        <w:t xml:space="preserve">de la réquisition de ses investissements ou d’une partie de ceux-ci par les forces ou les autorités de cette dernière, ou </w:t>
      </w:r>
    </w:p>
    <w:p w:rsidR="005273ED" w:rsidRPr="00281DE0" w:rsidRDefault="005273ED" w:rsidP="00B2134D">
      <w:pPr>
        <w:numPr>
          <w:ilvl w:val="0"/>
          <w:numId w:val="1"/>
        </w:numPr>
        <w:spacing w:after="0" w:line="240" w:lineRule="auto"/>
        <w:jc w:val="both"/>
        <w:rPr>
          <w:rFonts w:ascii="Times New Roman" w:hAnsi="Times New Roman" w:cs="Times New Roman"/>
          <w:i/>
          <w:sz w:val="24"/>
          <w:szCs w:val="24"/>
        </w:rPr>
      </w:pPr>
      <w:r w:rsidRPr="00515902">
        <w:rPr>
          <w:rFonts w:ascii="Times New Roman" w:hAnsi="Times New Roman" w:cs="Times New Roman"/>
          <w:i/>
          <w:sz w:val="24"/>
          <w:szCs w:val="24"/>
        </w:rPr>
        <w:t xml:space="preserve"> de la destruction de ses investissements ou d’une partie de ceux-ci par les forces ou les autorités de cette dernière, qui n’était pas requise par la nécessité de la situation se voit accorder une restitution ou une compensation qui, dans les deux cas, doit être prompte, adéquate et effective </w:t>
      </w:r>
      <w:r w:rsidRPr="00515902">
        <w:rPr>
          <w:rFonts w:ascii="Times New Roman" w:hAnsi="Times New Roman" w:cs="Times New Roman"/>
          <w:sz w:val="24"/>
          <w:szCs w:val="24"/>
        </w:rPr>
        <w:t>»</w:t>
      </w:r>
    </w:p>
    <w:p w:rsidR="005273ED" w:rsidRPr="00281DE0" w:rsidRDefault="005273ED" w:rsidP="00B2134D">
      <w:pPr>
        <w:spacing w:after="0" w:line="240" w:lineRule="auto"/>
        <w:jc w:val="both"/>
        <w:rPr>
          <w:rFonts w:ascii="Times New Roman" w:hAnsi="Times New Roman" w:cs="Times New Roman"/>
          <w:i/>
          <w:sz w:val="24"/>
          <w:szCs w:val="24"/>
        </w:rPr>
      </w:pPr>
    </w:p>
    <w:p w:rsidR="005273ED" w:rsidRPr="00515902" w:rsidRDefault="005273ED" w:rsidP="00634145">
      <w:pPr>
        <w:spacing w:after="0" w:line="240" w:lineRule="auto"/>
        <w:jc w:val="both"/>
        <w:rPr>
          <w:rFonts w:ascii="Times New Roman" w:hAnsi="Times New Roman" w:cs="Times New Roman"/>
          <w:i/>
          <w:sz w:val="24"/>
          <w:szCs w:val="24"/>
          <w:lang w:val="en-US"/>
        </w:rPr>
      </w:pPr>
      <w:r w:rsidRPr="00515902">
        <w:rPr>
          <w:rFonts w:ascii="Times New Roman" w:hAnsi="Times New Roman" w:cs="Times New Roman"/>
          <w:sz w:val="24"/>
          <w:szCs w:val="24"/>
        </w:rPr>
        <w:t xml:space="preserve">Il est à noter certains TBI conclus par le Royaume-Uni diffèrent légèrement en ce qu’ils subordonnent l’indemnisation de la victime conformément aux standards de l’expropriation </w:t>
      </w:r>
      <w:r>
        <w:rPr>
          <w:rFonts w:ascii="Times New Roman" w:hAnsi="Times New Roman" w:cs="Times New Roman"/>
          <w:sz w:val="24"/>
          <w:szCs w:val="24"/>
        </w:rPr>
        <w:t xml:space="preserve">en cas de destruction </w:t>
      </w:r>
      <w:r w:rsidRPr="00515902">
        <w:rPr>
          <w:rFonts w:ascii="Times New Roman" w:hAnsi="Times New Roman" w:cs="Times New Roman"/>
          <w:sz w:val="24"/>
          <w:szCs w:val="24"/>
        </w:rPr>
        <w:t>à une troisième condition selon laquelle la destruction ne doit pas être causée dans une action de combat</w:t>
      </w:r>
      <w:r w:rsidRPr="00515902">
        <w:rPr>
          <w:rStyle w:val="Appelnotedebasdep"/>
          <w:rFonts w:ascii="Times New Roman" w:hAnsi="Times New Roman"/>
          <w:sz w:val="24"/>
          <w:szCs w:val="24"/>
        </w:rPr>
        <w:footnoteReference w:id="16"/>
      </w:r>
      <w:r w:rsidRPr="00515902">
        <w:rPr>
          <w:rFonts w:ascii="Times New Roman" w:hAnsi="Times New Roman" w:cs="Times New Roman"/>
          <w:sz w:val="24"/>
          <w:szCs w:val="24"/>
        </w:rPr>
        <w:t xml:space="preserve">. </w:t>
      </w:r>
      <w:proofErr w:type="spellStart"/>
      <w:r w:rsidRPr="00515902">
        <w:rPr>
          <w:rFonts w:ascii="Times New Roman" w:hAnsi="Times New Roman" w:cs="Times New Roman"/>
          <w:sz w:val="24"/>
          <w:szCs w:val="24"/>
          <w:lang w:val="en-US"/>
        </w:rPr>
        <w:t>C’est</w:t>
      </w:r>
      <w:proofErr w:type="spellEnd"/>
      <w:r w:rsidRPr="00515902">
        <w:rPr>
          <w:rFonts w:ascii="Times New Roman" w:hAnsi="Times New Roman" w:cs="Times New Roman"/>
          <w:sz w:val="24"/>
          <w:szCs w:val="24"/>
          <w:lang w:val="en-US"/>
        </w:rPr>
        <w:t xml:space="preserve"> le </w:t>
      </w:r>
      <w:proofErr w:type="spellStart"/>
      <w:r w:rsidRPr="00515902">
        <w:rPr>
          <w:rFonts w:ascii="Times New Roman" w:hAnsi="Times New Roman" w:cs="Times New Roman"/>
          <w:sz w:val="24"/>
          <w:szCs w:val="24"/>
          <w:lang w:val="en-US"/>
        </w:rPr>
        <w:t>cas</w:t>
      </w:r>
      <w:proofErr w:type="spellEnd"/>
      <w:r w:rsidRPr="00515902">
        <w:rPr>
          <w:rFonts w:ascii="Times New Roman" w:hAnsi="Times New Roman" w:cs="Times New Roman"/>
          <w:sz w:val="24"/>
          <w:szCs w:val="24"/>
          <w:lang w:val="en-US"/>
        </w:rPr>
        <w:t xml:space="preserve"> de </w:t>
      </w:r>
      <w:proofErr w:type="spellStart"/>
      <w:r w:rsidRPr="00515902">
        <w:rPr>
          <w:rFonts w:ascii="Times New Roman" w:hAnsi="Times New Roman" w:cs="Times New Roman"/>
          <w:sz w:val="24"/>
          <w:szCs w:val="24"/>
          <w:lang w:val="en-US"/>
        </w:rPr>
        <w:t>l’a</w:t>
      </w:r>
      <w:r>
        <w:rPr>
          <w:rFonts w:ascii="Times New Roman" w:hAnsi="Times New Roman" w:cs="Times New Roman"/>
          <w:sz w:val="24"/>
          <w:szCs w:val="24"/>
          <w:lang w:val="en-US"/>
        </w:rPr>
        <w:t>rticle</w:t>
      </w:r>
      <w:proofErr w:type="spellEnd"/>
      <w:r>
        <w:rPr>
          <w:rFonts w:ascii="Times New Roman" w:hAnsi="Times New Roman" w:cs="Times New Roman"/>
          <w:sz w:val="24"/>
          <w:szCs w:val="24"/>
          <w:lang w:val="en-US"/>
        </w:rPr>
        <w:t xml:space="preserve"> 4 du TBI </w:t>
      </w:r>
      <w:proofErr w:type="spellStart"/>
      <w:r>
        <w:rPr>
          <w:rFonts w:ascii="Times New Roman" w:hAnsi="Times New Roman" w:cs="Times New Roman"/>
          <w:sz w:val="24"/>
          <w:szCs w:val="24"/>
          <w:lang w:val="en-US"/>
        </w:rPr>
        <w:t>Royaume</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Uni</w:t>
      </w:r>
      <w:proofErr w:type="spellEnd"/>
      <w:r>
        <w:rPr>
          <w:rFonts w:ascii="Times New Roman" w:hAnsi="Times New Roman" w:cs="Times New Roman"/>
          <w:sz w:val="24"/>
          <w:szCs w:val="24"/>
          <w:lang w:val="en-US"/>
        </w:rPr>
        <w:t xml:space="preserve">-Sri </w:t>
      </w:r>
      <w:r w:rsidRPr="00515902">
        <w:rPr>
          <w:rFonts w:ascii="Times New Roman" w:hAnsi="Times New Roman" w:cs="Times New Roman"/>
          <w:sz w:val="24"/>
          <w:szCs w:val="24"/>
          <w:lang w:val="en-US"/>
        </w:rPr>
        <w:t>Lanka qui dispose : « </w:t>
      </w:r>
      <w:r w:rsidRPr="00515902">
        <w:rPr>
          <w:rFonts w:ascii="Times New Roman" w:hAnsi="Times New Roman" w:cs="Times New Roman"/>
          <w:i/>
          <w:sz w:val="24"/>
          <w:szCs w:val="24"/>
          <w:lang w:val="en-US"/>
        </w:rPr>
        <w:t xml:space="preserve">(1) Nationals or companies of one Contracting Party whose investments in the territory of the other Contracting Party suffer losses owing to war or other armed conflict, revolution, a state of national emergency, revolt, insurrection or riot in the territory of the latter Contracting Party shall be accorded by the latter Contracting Party treatment, as regards restitution, indemnification, compensation or other settlement, no less favorable than that which the latter accords to its own nationals or companies or the nationals or companies of any third state. </w:t>
      </w:r>
    </w:p>
    <w:p w:rsidR="005273ED" w:rsidRPr="00515902" w:rsidRDefault="005273ED" w:rsidP="00B2134D">
      <w:pPr>
        <w:spacing w:after="0" w:line="240" w:lineRule="auto"/>
        <w:jc w:val="both"/>
        <w:rPr>
          <w:rFonts w:ascii="Times New Roman" w:hAnsi="Times New Roman" w:cs="Times New Roman"/>
          <w:i/>
          <w:sz w:val="24"/>
          <w:szCs w:val="24"/>
          <w:lang w:val="en-US"/>
        </w:rPr>
      </w:pPr>
      <w:r w:rsidRPr="00515902">
        <w:rPr>
          <w:rFonts w:ascii="Times New Roman" w:hAnsi="Times New Roman" w:cs="Times New Roman"/>
          <w:i/>
          <w:sz w:val="24"/>
          <w:szCs w:val="24"/>
          <w:lang w:val="en-US"/>
        </w:rPr>
        <w:t>(2) Without prejudice to paragraph (1) of this Article, nationals and companies of one Contracting Party who in any of the situations referred to in that paragraph suffer losses in the territory of the other Contracting Party resulting from</w:t>
      </w:r>
    </w:p>
    <w:p w:rsidR="005273ED" w:rsidRPr="00515902" w:rsidRDefault="005273ED" w:rsidP="00B2134D">
      <w:pPr>
        <w:numPr>
          <w:ilvl w:val="0"/>
          <w:numId w:val="2"/>
        </w:numPr>
        <w:spacing w:after="0" w:line="240" w:lineRule="auto"/>
        <w:ind w:firstLine="0"/>
        <w:jc w:val="both"/>
        <w:rPr>
          <w:rFonts w:ascii="Times New Roman" w:hAnsi="Times New Roman" w:cs="Times New Roman"/>
          <w:i/>
          <w:sz w:val="24"/>
          <w:szCs w:val="24"/>
          <w:lang w:val="en-US"/>
        </w:rPr>
      </w:pPr>
      <w:r w:rsidRPr="00515902">
        <w:rPr>
          <w:rFonts w:ascii="Times New Roman" w:hAnsi="Times New Roman" w:cs="Times New Roman"/>
          <w:i/>
          <w:sz w:val="24"/>
          <w:szCs w:val="24"/>
          <w:lang w:val="en-US"/>
        </w:rPr>
        <w:t>requisitioning of their property by its forces or authorities, or</w:t>
      </w:r>
    </w:p>
    <w:p w:rsidR="005273ED" w:rsidRPr="00515902" w:rsidRDefault="005273ED" w:rsidP="00634145">
      <w:pPr>
        <w:numPr>
          <w:ilvl w:val="0"/>
          <w:numId w:val="2"/>
        </w:numPr>
        <w:spacing w:after="0" w:line="240" w:lineRule="auto"/>
        <w:ind w:firstLine="0"/>
        <w:jc w:val="both"/>
        <w:rPr>
          <w:rFonts w:ascii="Times New Roman" w:hAnsi="Times New Roman" w:cs="Times New Roman"/>
          <w:i/>
          <w:sz w:val="24"/>
          <w:szCs w:val="24"/>
          <w:lang w:val="en-US"/>
        </w:rPr>
      </w:pPr>
      <w:proofErr w:type="gramStart"/>
      <w:r w:rsidRPr="00515902">
        <w:rPr>
          <w:rFonts w:ascii="Times New Roman" w:hAnsi="Times New Roman" w:cs="Times New Roman"/>
          <w:i/>
          <w:sz w:val="24"/>
          <w:szCs w:val="24"/>
          <w:lang w:val="en-US"/>
        </w:rPr>
        <w:t>destruction</w:t>
      </w:r>
      <w:proofErr w:type="gramEnd"/>
      <w:r w:rsidRPr="00515902">
        <w:rPr>
          <w:rFonts w:ascii="Times New Roman" w:hAnsi="Times New Roman" w:cs="Times New Roman"/>
          <w:i/>
          <w:sz w:val="24"/>
          <w:szCs w:val="24"/>
          <w:lang w:val="en-US"/>
        </w:rPr>
        <w:t xml:space="preserve"> of their property by its forces or authorities which was </w:t>
      </w:r>
      <w:r w:rsidRPr="00515902">
        <w:rPr>
          <w:rFonts w:ascii="Times New Roman" w:hAnsi="Times New Roman" w:cs="Times New Roman"/>
          <w:b/>
          <w:i/>
          <w:sz w:val="24"/>
          <w:szCs w:val="24"/>
          <w:lang w:val="en-US"/>
        </w:rPr>
        <w:t>not caused in combat action</w:t>
      </w:r>
      <w:r w:rsidRPr="00515902">
        <w:rPr>
          <w:rFonts w:ascii="Times New Roman" w:hAnsi="Times New Roman" w:cs="Times New Roman"/>
          <w:i/>
          <w:sz w:val="24"/>
          <w:szCs w:val="24"/>
          <w:lang w:val="en-US"/>
        </w:rPr>
        <w:t xml:space="preserve"> or was not required by the necessity of situation,</w:t>
      </w:r>
      <w:r>
        <w:rPr>
          <w:rFonts w:ascii="Times New Roman" w:hAnsi="Times New Roman" w:cs="Times New Roman"/>
          <w:i/>
          <w:sz w:val="24"/>
          <w:szCs w:val="24"/>
          <w:lang w:val="en-US"/>
        </w:rPr>
        <w:t xml:space="preserve"> s</w:t>
      </w:r>
      <w:r w:rsidRPr="00515902">
        <w:rPr>
          <w:rFonts w:ascii="Times New Roman" w:hAnsi="Times New Roman" w:cs="Times New Roman"/>
          <w:i/>
          <w:sz w:val="24"/>
          <w:szCs w:val="24"/>
          <w:lang w:val="en-US"/>
        </w:rPr>
        <w:t>hall be accorded restitution or adequate compensation. Resulting payments shall be freely transferable </w:t>
      </w:r>
      <w:r w:rsidRPr="00515902">
        <w:rPr>
          <w:rFonts w:ascii="Times New Roman" w:hAnsi="Times New Roman" w:cs="Times New Roman"/>
          <w:sz w:val="24"/>
          <w:szCs w:val="24"/>
          <w:lang w:val="en-US"/>
        </w:rPr>
        <w:t>».</w:t>
      </w:r>
    </w:p>
    <w:p w:rsidR="005273ED" w:rsidRPr="00515902" w:rsidRDefault="005273ED" w:rsidP="00B2134D">
      <w:pPr>
        <w:spacing w:after="0" w:line="240" w:lineRule="auto"/>
        <w:ind w:left="360"/>
        <w:jc w:val="both"/>
        <w:rPr>
          <w:rFonts w:ascii="Times New Roman" w:hAnsi="Times New Roman" w:cs="Times New Roman"/>
          <w:i/>
          <w:sz w:val="24"/>
          <w:szCs w:val="24"/>
          <w:lang w:val="en-US"/>
        </w:rPr>
      </w:pPr>
    </w:p>
    <w:p w:rsidR="005273ED" w:rsidRDefault="005273ED" w:rsidP="00B16CD1">
      <w:pPr>
        <w:spacing w:after="0" w:line="240" w:lineRule="auto"/>
        <w:jc w:val="both"/>
        <w:rPr>
          <w:rFonts w:ascii="Times New Roman" w:hAnsi="Times New Roman" w:cs="Times New Roman"/>
          <w:sz w:val="24"/>
          <w:szCs w:val="24"/>
        </w:rPr>
      </w:pPr>
      <w:r w:rsidRPr="00515902">
        <w:rPr>
          <w:rFonts w:ascii="Times New Roman" w:hAnsi="Times New Roman" w:cs="Times New Roman"/>
          <w:sz w:val="24"/>
          <w:szCs w:val="24"/>
        </w:rPr>
        <w:t>Curieusement</w:t>
      </w:r>
      <w:r>
        <w:rPr>
          <w:rFonts w:ascii="Times New Roman" w:hAnsi="Times New Roman" w:cs="Times New Roman"/>
          <w:sz w:val="24"/>
          <w:szCs w:val="24"/>
        </w:rPr>
        <w:t>, les T</w:t>
      </w:r>
      <w:r w:rsidRPr="00515902">
        <w:rPr>
          <w:rFonts w:ascii="Times New Roman" w:hAnsi="Times New Roman" w:cs="Times New Roman"/>
          <w:sz w:val="24"/>
          <w:szCs w:val="24"/>
        </w:rPr>
        <w:t xml:space="preserve">BI Tunisie Etats-Unis et Tunisie Royaume Unis ne suivent pas cette approche. Les deux traités </w:t>
      </w:r>
      <w:r>
        <w:rPr>
          <w:rFonts w:ascii="Times New Roman" w:hAnsi="Times New Roman" w:cs="Times New Roman"/>
          <w:sz w:val="24"/>
          <w:szCs w:val="24"/>
        </w:rPr>
        <w:t xml:space="preserve">consacrent la première rédaction </w:t>
      </w:r>
      <w:r w:rsidRPr="00515902">
        <w:rPr>
          <w:rFonts w:ascii="Times New Roman" w:hAnsi="Times New Roman" w:cs="Times New Roman"/>
          <w:sz w:val="24"/>
          <w:szCs w:val="24"/>
        </w:rPr>
        <w:t>se limit</w:t>
      </w:r>
      <w:r>
        <w:rPr>
          <w:rFonts w:ascii="Times New Roman" w:hAnsi="Times New Roman" w:cs="Times New Roman"/>
          <w:sz w:val="24"/>
          <w:szCs w:val="24"/>
        </w:rPr>
        <w:t>ant à faire bénéficier les investisseurs du traitement national et du traitement du NPF</w:t>
      </w:r>
      <w:r w:rsidRPr="00515902">
        <w:rPr>
          <w:rFonts w:ascii="Times New Roman" w:hAnsi="Times New Roman" w:cs="Times New Roman"/>
          <w:sz w:val="24"/>
          <w:szCs w:val="24"/>
        </w:rPr>
        <w:t xml:space="preserve">. En conséquence, </w:t>
      </w:r>
      <w:r>
        <w:rPr>
          <w:rFonts w:ascii="Times New Roman" w:hAnsi="Times New Roman" w:cs="Times New Roman"/>
          <w:sz w:val="24"/>
          <w:szCs w:val="24"/>
        </w:rPr>
        <w:t xml:space="preserve">en ce qui concerne le dommage survenant en raison de la révolution, </w:t>
      </w:r>
      <w:r w:rsidRPr="00515902">
        <w:rPr>
          <w:rFonts w:ascii="Times New Roman" w:hAnsi="Times New Roman" w:cs="Times New Roman"/>
          <w:sz w:val="24"/>
          <w:szCs w:val="24"/>
        </w:rPr>
        <w:t>la Tunisie est obligé</w:t>
      </w:r>
      <w:r>
        <w:rPr>
          <w:rFonts w:ascii="Times New Roman" w:hAnsi="Times New Roman" w:cs="Times New Roman"/>
          <w:sz w:val="24"/>
          <w:szCs w:val="24"/>
        </w:rPr>
        <w:t>e</w:t>
      </w:r>
      <w:r w:rsidRPr="00515902">
        <w:rPr>
          <w:rFonts w:ascii="Times New Roman" w:hAnsi="Times New Roman" w:cs="Times New Roman"/>
          <w:sz w:val="24"/>
          <w:szCs w:val="24"/>
        </w:rPr>
        <w:t xml:space="preserve"> seulement </w:t>
      </w:r>
      <w:r>
        <w:rPr>
          <w:rFonts w:ascii="Times New Roman" w:hAnsi="Times New Roman" w:cs="Times New Roman"/>
          <w:sz w:val="24"/>
          <w:szCs w:val="24"/>
        </w:rPr>
        <w:t xml:space="preserve">à </w:t>
      </w:r>
      <w:r w:rsidRPr="00515902">
        <w:rPr>
          <w:rFonts w:ascii="Times New Roman" w:hAnsi="Times New Roman" w:cs="Times New Roman"/>
          <w:sz w:val="24"/>
          <w:szCs w:val="24"/>
        </w:rPr>
        <w:t>accorder aux investisseurs étrangers l’égalité de traitement avec les nationaux et avec les</w:t>
      </w:r>
      <w:r>
        <w:rPr>
          <w:rFonts w:ascii="Times New Roman" w:hAnsi="Times New Roman" w:cs="Times New Roman"/>
          <w:sz w:val="24"/>
          <w:szCs w:val="24"/>
        </w:rPr>
        <w:t xml:space="preserve"> ressortissants des Etats tiers. </w:t>
      </w:r>
    </w:p>
    <w:p w:rsidR="005273ED" w:rsidRPr="00515902" w:rsidRDefault="005273ED" w:rsidP="00B2134D">
      <w:pPr>
        <w:spacing w:after="0" w:line="240" w:lineRule="auto"/>
        <w:jc w:val="both"/>
        <w:rPr>
          <w:rFonts w:ascii="Times New Roman" w:hAnsi="Times New Roman" w:cs="Times New Roman"/>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sidRPr="007A4F0B">
        <w:rPr>
          <w:rFonts w:ascii="Times New Roman" w:hAnsi="Times New Roman" w:cs="Times New Roman"/>
          <w:sz w:val="24"/>
          <w:szCs w:val="24"/>
        </w:rPr>
        <w:t>La Tunisie</w:t>
      </w:r>
      <w:r>
        <w:rPr>
          <w:rFonts w:ascii="Times New Roman" w:hAnsi="Times New Roman" w:cs="Times New Roman"/>
          <w:sz w:val="24"/>
          <w:szCs w:val="24"/>
        </w:rPr>
        <w:t xml:space="preserve"> a adopté un décret-</w:t>
      </w:r>
      <w:r w:rsidRPr="007A4F0B">
        <w:rPr>
          <w:rFonts w:ascii="Times New Roman" w:hAnsi="Times New Roman" w:cs="Times New Roman"/>
          <w:sz w:val="24"/>
          <w:szCs w:val="24"/>
        </w:rPr>
        <w:t>loi n°40 du 19 mai 20</w:t>
      </w:r>
      <w:r>
        <w:rPr>
          <w:rFonts w:ascii="Times New Roman" w:hAnsi="Times New Roman" w:cs="Times New Roman"/>
          <w:sz w:val="24"/>
          <w:szCs w:val="24"/>
        </w:rPr>
        <w:t>1</w:t>
      </w:r>
      <w:r w:rsidRPr="007A4F0B">
        <w:rPr>
          <w:rFonts w:ascii="Times New Roman" w:hAnsi="Times New Roman" w:cs="Times New Roman"/>
          <w:sz w:val="24"/>
          <w:szCs w:val="24"/>
        </w:rPr>
        <w:t>1 sur l’indemnisation des dommages causés par la révolution</w:t>
      </w:r>
      <w:r>
        <w:rPr>
          <w:rStyle w:val="Appelnotedebasdep"/>
          <w:rFonts w:ascii="Times New Roman" w:hAnsi="Times New Roman"/>
          <w:sz w:val="24"/>
          <w:szCs w:val="24"/>
        </w:rPr>
        <w:footnoteReference w:id="17"/>
      </w:r>
      <w:r w:rsidRPr="007A4F0B">
        <w:rPr>
          <w:rFonts w:ascii="Times New Roman" w:hAnsi="Times New Roman" w:cs="Times New Roman"/>
          <w:sz w:val="24"/>
          <w:szCs w:val="24"/>
        </w:rPr>
        <w:t>. Le décret-loi, qui se réfère au code des investissements</w:t>
      </w:r>
      <w:r>
        <w:rPr>
          <w:rFonts w:ascii="Times New Roman" w:hAnsi="Times New Roman" w:cs="Times New Roman"/>
          <w:sz w:val="24"/>
          <w:szCs w:val="24"/>
        </w:rPr>
        <w:t xml:space="preserve"> de 1993</w:t>
      </w:r>
      <w:r w:rsidRPr="007A4F0B">
        <w:rPr>
          <w:rFonts w:ascii="Times New Roman" w:hAnsi="Times New Roman" w:cs="Times New Roman"/>
          <w:sz w:val="24"/>
          <w:szCs w:val="24"/>
        </w:rPr>
        <w:t>, couvre le dommage matériel direct subi par les entreprises économique</w:t>
      </w:r>
      <w:r>
        <w:rPr>
          <w:rFonts w:ascii="Times New Roman" w:hAnsi="Times New Roman" w:cs="Times New Roman"/>
          <w:sz w:val="24"/>
          <w:szCs w:val="24"/>
        </w:rPr>
        <w:t>s</w:t>
      </w:r>
      <w:r w:rsidRPr="007A4F0B">
        <w:rPr>
          <w:rFonts w:ascii="Times New Roman" w:hAnsi="Times New Roman" w:cs="Times New Roman"/>
          <w:sz w:val="24"/>
          <w:szCs w:val="24"/>
        </w:rPr>
        <w:t xml:space="preserve"> suite aux incendies, destruction</w:t>
      </w:r>
      <w:r>
        <w:rPr>
          <w:rFonts w:ascii="Times New Roman" w:hAnsi="Times New Roman" w:cs="Times New Roman"/>
          <w:sz w:val="24"/>
          <w:szCs w:val="24"/>
        </w:rPr>
        <w:t>s</w:t>
      </w:r>
      <w:r w:rsidRPr="007A4F0B">
        <w:rPr>
          <w:rFonts w:ascii="Times New Roman" w:hAnsi="Times New Roman" w:cs="Times New Roman"/>
          <w:sz w:val="24"/>
          <w:szCs w:val="24"/>
        </w:rPr>
        <w:t xml:space="preserve"> ou vol</w:t>
      </w:r>
      <w:r>
        <w:rPr>
          <w:rFonts w:ascii="Times New Roman" w:hAnsi="Times New Roman" w:cs="Times New Roman"/>
          <w:sz w:val="24"/>
          <w:szCs w:val="24"/>
        </w:rPr>
        <w:t>s</w:t>
      </w:r>
      <w:r w:rsidRPr="007A4F0B">
        <w:rPr>
          <w:rFonts w:ascii="Times New Roman" w:hAnsi="Times New Roman" w:cs="Times New Roman"/>
          <w:sz w:val="24"/>
          <w:szCs w:val="24"/>
        </w:rPr>
        <w:t xml:space="preserve"> des biens. Il exclu</w:t>
      </w:r>
      <w:r>
        <w:rPr>
          <w:rFonts w:ascii="Times New Roman" w:hAnsi="Times New Roman" w:cs="Times New Roman"/>
          <w:sz w:val="24"/>
          <w:szCs w:val="24"/>
        </w:rPr>
        <w:t>t</w:t>
      </w:r>
      <w:r w:rsidRPr="007A4F0B">
        <w:rPr>
          <w:rFonts w:ascii="Times New Roman" w:hAnsi="Times New Roman" w:cs="Times New Roman"/>
          <w:sz w:val="24"/>
          <w:szCs w:val="24"/>
        </w:rPr>
        <w:t>, cependant les grandes surfaces, les entreprises financière</w:t>
      </w:r>
      <w:r>
        <w:rPr>
          <w:rFonts w:ascii="Times New Roman" w:hAnsi="Times New Roman" w:cs="Times New Roman"/>
          <w:sz w:val="24"/>
          <w:szCs w:val="24"/>
        </w:rPr>
        <w:t>s</w:t>
      </w:r>
      <w:r w:rsidRPr="007A4F0B">
        <w:rPr>
          <w:rFonts w:ascii="Times New Roman" w:hAnsi="Times New Roman" w:cs="Times New Roman"/>
          <w:sz w:val="24"/>
          <w:szCs w:val="24"/>
        </w:rPr>
        <w:t>, les entreprises publiques et les concessionnaires de vente de voiture</w:t>
      </w:r>
      <w:r>
        <w:rPr>
          <w:rFonts w:ascii="Times New Roman" w:hAnsi="Times New Roman" w:cs="Times New Roman"/>
          <w:sz w:val="24"/>
          <w:szCs w:val="24"/>
        </w:rPr>
        <w:t>s</w:t>
      </w:r>
      <w:r w:rsidRPr="007A4F0B">
        <w:rPr>
          <w:rFonts w:ascii="Times New Roman" w:hAnsi="Times New Roman" w:cs="Times New Roman"/>
          <w:sz w:val="24"/>
          <w:szCs w:val="24"/>
        </w:rPr>
        <w:t>. L’Etat s’engage d’indemniser les entreprises partiellement en raison des dommages subi</w:t>
      </w:r>
      <w:r>
        <w:rPr>
          <w:rFonts w:ascii="Times New Roman" w:hAnsi="Times New Roman" w:cs="Times New Roman"/>
          <w:sz w:val="24"/>
          <w:szCs w:val="24"/>
        </w:rPr>
        <w:t>s</w:t>
      </w:r>
      <w:r w:rsidRPr="007A4F0B">
        <w:rPr>
          <w:rFonts w:ascii="Times New Roman" w:hAnsi="Times New Roman" w:cs="Times New Roman"/>
          <w:sz w:val="24"/>
          <w:szCs w:val="24"/>
        </w:rPr>
        <w:t xml:space="preserve"> durant la révolution entre le 17 décembre 2010 et le 28 février 2011. </w:t>
      </w:r>
      <w:r>
        <w:rPr>
          <w:rFonts w:ascii="Times New Roman" w:hAnsi="Times New Roman" w:cs="Times New Roman"/>
          <w:sz w:val="24"/>
          <w:szCs w:val="24"/>
        </w:rPr>
        <w:t>L’Etat octroie aussi</w:t>
      </w:r>
      <w:r w:rsidRPr="007A4F0B">
        <w:rPr>
          <w:rFonts w:ascii="Times New Roman" w:hAnsi="Times New Roman" w:cs="Times New Roman"/>
          <w:sz w:val="24"/>
          <w:szCs w:val="24"/>
        </w:rPr>
        <w:t xml:space="preserve"> des indemnisations financières au titre des préjudices portés aux personnes et le décès ou des dommages physiques. </w:t>
      </w:r>
      <w:r>
        <w:rPr>
          <w:rFonts w:ascii="Times New Roman" w:hAnsi="Times New Roman" w:cs="Times New Roman"/>
          <w:sz w:val="24"/>
          <w:szCs w:val="24"/>
        </w:rPr>
        <w:t xml:space="preserve">Un </w:t>
      </w:r>
      <w:r w:rsidRPr="007A4F0B">
        <w:rPr>
          <w:rFonts w:ascii="Times New Roman" w:hAnsi="Times New Roman" w:cs="Times New Roman"/>
          <w:sz w:val="24"/>
          <w:szCs w:val="24"/>
        </w:rPr>
        <w:t xml:space="preserve">décret </w:t>
      </w:r>
      <w:r>
        <w:rPr>
          <w:rFonts w:ascii="Times New Roman" w:hAnsi="Times New Roman" w:cs="Times New Roman"/>
          <w:sz w:val="24"/>
          <w:szCs w:val="24"/>
        </w:rPr>
        <w:t xml:space="preserve">n°790 du 27 juin 2011 indique </w:t>
      </w:r>
      <w:r w:rsidRPr="007A4F0B">
        <w:rPr>
          <w:rFonts w:ascii="Times New Roman" w:hAnsi="Times New Roman" w:cs="Times New Roman"/>
          <w:sz w:val="24"/>
          <w:szCs w:val="24"/>
        </w:rPr>
        <w:t xml:space="preserve">la procédure </w:t>
      </w:r>
      <w:r>
        <w:rPr>
          <w:rFonts w:ascii="Times New Roman" w:hAnsi="Times New Roman" w:cs="Times New Roman"/>
          <w:sz w:val="24"/>
          <w:szCs w:val="24"/>
        </w:rPr>
        <w:t>à suivre pour soumettre des demandes d’indemnisation</w:t>
      </w:r>
      <w:r>
        <w:rPr>
          <w:rStyle w:val="Appelnotedebasdep"/>
          <w:rFonts w:ascii="Times New Roman" w:hAnsi="Times New Roman"/>
          <w:sz w:val="24"/>
          <w:szCs w:val="24"/>
        </w:rPr>
        <w:footnoteReference w:id="18"/>
      </w:r>
      <w:r>
        <w:rPr>
          <w:rFonts w:ascii="Times New Roman" w:hAnsi="Times New Roman" w:cs="Times New Roman"/>
          <w:sz w:val="24"/>
          <w:szCs w:val="24"/>
        </w:rPr>
        <w:t xml:space="preserve">.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gouvernement tunisien</w:t>
      </w:r>
      <w:r w:rsidRPr="007A4F0B">
        <w:rPr>
          <w:rFonts w:ascii="Times New Roman" w:hAnsi="Times New Roman" w:cs="Times New Roman"/>
          <w:sz w:val="24"/>
          <w:szCs w:val="24"/>
        </w:rPr>
        <w:t xml:space="preserve"> a adopté aussi </w:t>
      </w:r>
      <w:r>
        <w:rPr>
          <w:rFonts w:ascii="Times New Roman" w:hAnsi="Times New Roman" w:cs="Times New Roman"/>
          <w:sz w:val="24"/>
          <w:szCs w:val="24"/>
        </w:rPr>
        <w:t>deux décrets-</w:t>
      </w:r>
      <w:r w:rsidRPr="007A4F0B">
        <w:rPr>
          <w:rFonts w:ascii="Times New Roman" w:hAnsi="Times New Roman" w:cs="Times New Roman"/>
          <w:sz w:val="24"/>
          <w:szCs w:val="24"/>
        </w:rPr>
        <w:t>lois (pas pour l’indemnisation) mais pour le soutien des victimes de la révolution.</w:t>
      </w:r>
      <w:r>
        <w:rPr>
          <w:rFonts w:ascii="Times New Roman" w:hAnsi="Times New Roman" w:cs="Times New Roman"/>
          <w:sz w:val="24"/>
          <w:szCs w:val="24"/>
        </w:rPr>
        <w:t xml:space="preserve"> En raison des termes larges des TBI qui exigent en cas de révolution l’égalité de traitement en ce qui </w:t>
      </w:r>
      <w:r>
        <w:rPr>
          <w:rFonts w:ascii="Times New Roman" w:hAnsi="Times New Roman" w:cs="Times New Roman"/>
          <w:i/>
          <w:iCs/>
          <w:sz w:val="24"/>
          <w:szCs w:val="24"/>
        </w:rPr>
        <w:t>« </w:t>
      </w:r>
      <w:r w:rsidRPr="007A4F0B">
        <w:rPr>
          <w:rFonts w:ascii="Times New Roman" w:hAnsi="Times New Roman" w:cs="Times New Roman"/>
          <w:i/>
          <w:iCs/>
          <w:sz w:val="24"/>
          <w:szCs w:val="24"/>
        </w:rPr>
        <w:t>la restitution, l'indemnisation, le dédommagement ou tout autre règlement</w:t>
      </w:r>
      <w:r>
        <w:rPr>
          <w:rFonts w:ascii="Times New Roman" w:hAnsi="Times New Roman" w:cs="Times New Roman"/>
          <w:i/>
          <w:iCs/>
          <w:sz w:val="24"/>
          <w:szCs w:val="24"/>
        </w:rPr>
        <w:t xml:space="preserve"> », </w:t>
      </w:r>
      <w:r w:rsidRPr="00240843">
        <w:rPr>
          <w:rFonts w:ascii="Times New Roman" w:hAnsi="Times New Roman" w:cs="Times New Roman"/>
          <w:sz w:val="24"/>
          <w:szCs w:val="24"/>
        </w:rPr>
        <w:t xml:space="preserve">on pourrait considérer </w:t>
      </w:r>
      <w:r>
        <w:rPr>
          <w:rFonts w:ascii="Times New Roman" w:hAnsi="Times New Roman" w:cs="Times New Roman"/>
          <w:sz w:val="24"/>
          <w:szCs w:val="24"/>
        </w:rPr>
        <w:t xml:space="preserve">que les mesures de soutien prévus par ces deux décrets-lois sont visés par les clauses relatives à la perte de l’investissement à la suite d’une révolution prévues dans les traités d’investissement.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sidRPr="007A4F0B">
        <w:rPr>
          <w:rFonts w:ascii="Times New Roman" w:hAnsi="Times New Roman" w:cs="Times New Roman"/>
          <w:sz w:val="24"/>
          <w:szCs w:val="24"/>
        </w:rPr>
        <w:t>Il s’agit en premier lieu du décret-loi n° 2011-29 du 18 avril 2011</w:t>
      </w:r>
      <w:r>
        <w:rPr>
          <w:rStyle w:val="Appelnotedebasdep"/>
          <w:rFonts w:ascii="Times New Roman" w:hAnsi="Times New Roman"/>
          <w:sz w:val="24"/>
          <w:szCs w:val="24"/>
        </w:rPr>
        <w:footnoteReference w:id="19"/>
      </w:r>
      <w:r w:rsidRPr="007A4F0B">
        <w:rPr>
          <w:rFonts w:ascii="Times New Roman" w:hAnsi="Times New Roman" w:cs="Times New Roman"/>
          <w:sz w:val="24"/>
          <w:szCs w:val="24"/>
        </w:rPr>
        <w:t>, portant mesures conjoncturelles de soutien aux entreprises exerçant une activité commerciale, de services connexes au commerce, ou une activité artisanale pour poursuivre leurs activités</w:t>
      </w:r>
      <w:r>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90042A">
      <w:pPr>
        <w:spacing w:after="0" w:line="240" w:lineRule="auto"/>
        <w:jc w:val="both"/>
        <w:rPr>
          <w:rFonts w:ascii="Times New Roman" w:hAnsi="Times New Roman" w:cs="Times New Roman"/>
          <w:sz w:val="24"/>
          <w:szCs w:val="24"/>
        </w:rPr>
      </w:pPr>
      <w:r w:rsidRPr="007A4F0B">
        <w:rPr>
          <w:rFonts w:ascii="Times New Roman" w:hAnsi="Times New Roman" w:cs="Times New Roman"/>
          <w:sz w:val="24"/>
          <w:szCs w:val="24"/>
        </w:rPr>
        <w:t xml:space="preserve">Est considérée comme entreprise lésée au sens </w:t>
      </w:r>
      <w:r>
        <w:rPr>
          <w:rFonts w:ascii="Times New Roman" w:hAnsi="Times New Roman" w:cs="Times New Roman"/>
          <w:sz w:val="24"/>
          <w:szCs w:val="24"/>
        </w:rPr>
        <w:t>de ce décret-loi</w:t>
      </w:r>
      <w:r w:rsidRPr="007A4F0B">
        <w:rPr>
          <w:rFonts w:ascii="Times New Roman" w:hAnsi="Times New Roman" w:cs="Times New Roman"/>
          <w:sz w:val="24"/>
          <w:szCs w:val="24"/>
        </w:rPr>
        <w:t>, toute personne physique ou morale exerçant une activité commerciale</w:t>
      </w:r>
      <w:r>
        <w:rPr>
          <w:rStyle w:val="Appelnotedebasdep"/>
          <w:rFonts w:ascii="Times New Roman" w:hAnsi="Times New Roman"/>
          <w:sz w:val="24"/>
          <w:szCs w:val="24"/>
        </w:rPr>
        <w:footnoteReference w:id="20"/>
      </w:r>
      <w:r>
        <w:rPr>
          <w:rFonts w:ascii="Times New Roman" w:hAnsi="Times New Roman" w:cs="Times New Roman"/>
          <w:sz w:val="24"/>
          <w:szCs w:val="24"/>
        </w:rPr>
        <w:t>,</w:t>
      </w:r>
      <w:r w:rsidRPr="007A4F0B">
        <w:rPr>
          <w:rFonts w:ascii="Times New Roman" w:hAnsi="Times New Roman" w:cs="Times New Roman"/>
          <w:sz w:val="24"/>
          <w:szCs w:val="24"/>
        </w:rPr>
        <w:t xml:space="preserve"> de services connexes au commerce </w:t>
      </w:r>
      <w:r>
        <w:rPr>
          <w:rFonts w:ascii="Times New Roman" w:hAnsi="Times New Roman" w:cs="Times New Roman"/>
          <w:sz w:val="24"/>
          <w:szCs w:val="24"/>
        </w:rPr>
        <w:t xml:space="preserve">ou </w:t>
      </w:r>
      <w:r w:rsidRPr="007A4F0B">
        <w:rPr>
          <w:rFonts w:ascii="Times New Roman" w:hAnsi="Times New Roman" w:cs="Times New Roman"/>
          <w:sz w:val="24"/>
          <w:szCs w:val="24"/>
        </w:rPr>
        <w:t xml:space="preserve"> artisanale</w:t>
      </w:r>
      <w:r>
        <w:rPr>
          <w:rStyle w:val="Appelnotedebasdep"/>
          <w:rFonts w:ascii="Times New Roman" w:hAnsi="Times New Roman"/>
          <w:sz w:val="24"/>
          <w:szCs w:val="24"/>
        </w:rPr>
        <w:footnoteReference w:id="21"/>
      </w:r>
      <w:r w:rsidRPr="007A4F0B">
        <w:rPr>
          <w:rFonts w:ascii="Times New Roman" w:hAnsi="Times New Roman" w:cs="Times New Roman"/>
          <w:sz w:val="24"/>
          <w:szCs w:val="24"/>
        </w:rPr>
        <w:t>, et ayant : - subi des dommages suite aux incendies, destruction ou vol des biens</w:t>
      </w:r>
      <w:r>
        <w:rPr>
          <w:rFonts w:ascii="Times New Roman" w:hAnsi="Times New Roman" w:cs="Times New Roman"/>
          <w:sz w:val="24"/>
          <w:szCs w:val="24"/>
        </w:rPr>
        <w:t xml:space="preserve">  ou</w:t>
      </w:r>
      <w:r>
        <w:rPr>
          <w:rStyle w:val="Appelnotedebasdep"/>
          <w:rFonts w:ascii="Times New Roman" w:hAnsi="Times New Roman"/>
          <w:sz w:val="24"/>
          <w:szCs w:val="24"/>
        </w:rPr>
        <w:footnoteReference w:id="22"/>
      </w:r>
      <w:r>
        <w:rPr>
          <w:rFonts w:ascii="Times New Roman" w:hAnsi="Times New Roman" w:cs="Times New Roman"/>
          <w:sz w:val="24"/>
          <w:szCs w:val="24"/>
        </w:rPr>
        <w:t xml:space="preserve"> </w:t>
      </w:r>
      <w:r w:rsidRPr="007A4F0B">
        <w:rPr>
          <w:rFonts w:ascii="Times New Roman" w:hAnsi="Times New Roman" w:cs="Times New Roman"/>
          <w:sz w:val="24"/>
          <w:szCs w:val="24"/>
        </w:rPr>
        <w:t xml:space="preserve"> - connu un ralentissement sensible, ou un arrêt définitif de leur activité, et qui a engendré des effets sur leurs chiffres d'affaires, leurs solvabilité et leurs relations avec leurs clientèles et ce pour des raisons étroitement liées à la conjoncture provisoire du pays (</w:t>
      </w:r>
      <w:r>
        <w:rPr>
          <w:rFonts w:ascii="Times New Roman" w:hAnsi="Times New Roman" w:cs="Times New Roman"/>
          <w:sz w:val="24"/>
          <w:szCs w:val="24"/>
        </w:rPr>
        <w:t>A</w:t>
      </w:r>
      <w:r w:rsidRPr="007A4F0B">
        <w:rPr>
          <w:rFonts w:ascii="Times New Roman" w:hAnsi="Times New Roman" w:cs="Times New Roman"/>
          <w:sz w:val="24"/>
          <w:szCs w:val="24"/>
        </w:rPr>
        <w:t>rticle 1</w:t>
      </w:r>
      <w:r w:rsidRPr="007A4F0B">
        <w:rPr>
          <w:rFonts w:ascii="Times New Roman" w:hAnsi="Times New Roman" w:cs="Times New Roman"/>
          <w:sz w:val="24"/>
          <w:szCs w:val="24"/>
          <w:vertAlign w:val="superscript"/>
        </w:rPr>
        <w:t>er</w:t>
      </w:r>
      <w:r>
        <w:rPr>
          <w:rFonts w:ascii="Times New Roman" w:hAnsi="Times New Roman" w:cs="Times New Roman"/>
          <w:sz w:val="24"/>
          <w:szCs w:val="24"/>
        </w:rPr>
        <w:t>).</w:t>
      </w:r>
    </w:p>
    <w:p w:rsidR="005273ED" w:rsidRPr="007A4F0B" w:rsidRDefault="005273ED" w:rsidP="00B2134D">
      <w:pPr>
        <w:spacing w:after="0" w:line="240" w:lineRule="auto"/>
        <w:jc w:val="both"/>
        <w:rPr>
          <w:rFonts w:ascii="Times New Roman" w:hAnsi="Times New Roman" w:cs="Times New Roman"/>
          <w:sz w:val="24"/>
          <w:szCs w:val="24"/>
        </w:rPr>
      </w:pPr>
    </w:p>
    <w:p w:rsidR="005273ED" w:rsidRDefault="005273ED" w:rsidP="00900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décret-</w:t>
      </w:r>
      <w:r w:rsidRPr="007A4F0B">
        <w:rPr>
          <w:rFonts w:ascii="Times New Roman" w:hAnsi="Times New Roman" w:cs="Times New Roman"/>
          <w:sz w:val="24"/>
          <w:szCs w:val="24"/>
        </w:rPr>
        <w:t xml:space="preserve">loi </w:t>
      </w:r>
      <w:r>
        <w:rPr>
          <w:rFonts w:ascii="Times New Roman" w:hAnsi="Times New Roman" w:cs="Times New Roman"/>
          <w:sz w:val="24"/>
          <w:szCs w:val="24"/>
        </w:rPr>
        <w:t>n°</w:t>
      </w:r>
      <w:r w:rsidRPr="007A4F0B">
        <w:rPr>
          <w:rFonts w:ascii="Times New Roman" w:hAnsi="Times New Roman" w:cs="Times New Roman"/>
          <w:sz w:val="24"/>
          <w:szCs w:val="24"/>
        </w:rPr>
        <w:t xml:space="preserve">2011-29 </w:t>
      </w:r>
      <w:r>
        <w:rPr>
          <w:rFonts w:ascii="Times New Roman" w:hAnsi="Times New Roman" w:cs="Times New Roman"/>
          <w:sz w:val="24"/>
          <w:szCs w:val="24"/>
        </w:rPr>
        <w:t>offre</w:t>
      </w:r>
      <w:r w:rsidRPr="007A4F0B">
        <w:rPr>
          <w:rFonts w:ascii="Times New Roman" w:hAnsi="Times New Roman" w:cs="Times New Roman"/>
          <w:sz w:val="24"/>
          <w:szCs w:val="24"/>
        </w:rPr>
        <w:t xml:space="preserve"> aux entreprises quatre avantages. En premier lieu, </w:t>
      </w:r>
      <w:r>
        <w:rPr>
          <w:rFonts w:ascii="Times New Roman" w:hAnsi="Times New Roman" w:cs="Times New Roman"/>
          <w:sz w:val="24"/>
          <w:szCs w:val="24"/>
        </w:rPr>
        <w:t xml:space="preserve">selon les articles 2 et 3, </w:t>
      </w:r>
      <w:r w:rsidRPr="007A4F0B">
        <w:rPr>
          <w:rFonts w:ascii="Times New Roman" w:hAnsi="Times New Roman" w:cs="Times New Roman"/>
          <w:sz w:val="24"/>
          <w:szCs w:val="24"/>
        </w:rPr>
        <w:t>l'Etat se charge de certaines charges sociales dues par ces entreprises (50% de la contribution patronale au régime légal national de sécurité sociale ainsi que la contribution patronale au régime légal national de sécurité sociale)</w:t>
      </w:r>
      <w:r>
        <w:rPr>
          <w:rFonts w:ascii="Times New Roman" w:hAnsi="Times New Roman" w:cs="Times New Roman"/>
          <w:sz w:val="24"/>
          <w:szCs w:val="24"/>
        </w:rPr>
        <w:t xml:space="preserve">. </w:t>
      </w:r>
      <w:r w:rsidRPr="007A4F0B">
        <w:rPr>
          <w:rFonts w:ascii="Times New Roman" w:hAnsi="Times New Roman" w:cs="Times New Roman"/>
          <w:sz w:val="24"/>
          <w:szCs w:val="24"/>
        </w:rPr>
        <w:t xml:space="preserve">En second lieu, </w:t>
      </w:r>
      <w:r>
        <w:rPr>
          <w:rFonts w:ascii="Times New Roman" w:hAnsi="Times New Roman" w:cs="Times New Roman"/>
          <w:sz w:val="24"/>
          <w:szCs w:val="24"/>
        </w:rPr>
        <w:t>l’</w:t>
      </w:r>
      <w:r w:rsidRPr="007A4F0B">
        <w:rPr>
          <w:rFonts w:ascii="Times New Roman" w:hAnsi="Times New Roman" w:cs="Times New Roman"/>
          <w:sz w:val="24"/>
          <w:szCs w:val="24"/>
        </w:rPr>
        <w:t xml:space="preserve">article 5 accorde aux personnes physiques et morales assujetties aux impôts des sociétés d'un taux de 10% ou de 30% </w:t>
      </w:r>
      <w:r>
        <w:rPr>
          <w:rFonts w:ascii="Times New Roman" w:hAnsi="Times New Roman" w:cs="Times New Roman"/>
          <w:sz w:val="24"/>
          <w:szCs w:val="24"/>
        </w:rPr>
        <w:t xml:space="preserve">des </w:t>
      </w:r>
      <w:r w:rsidRPr="007A4F0B">
        <w:rPr>
          <w:rFonts w:ascii="Times New Roman" w:hAnsi="Times New Roman" w:cs="Times New Roman"/>
          <w:sz w:val="24"/>
          <w:szCs w:val="24"/>
        </w:rPr>
        <w:t xml:space="preserve">délais pour payer leurs impôts. </w:t>
      </w:r>
      <w:r>
        <w:rPr>
          <w:rFonts w:ascii="Times New Roman" w:hAnsi="Times New Roman" w:cs="Times New Roman"/>
          <w:sz w:val="24"/>
          <w:szCs w:val="24"/>
        </w:rPr>
        <w:t>En troisième lieu,</w:t>
      </w:r>
      <w:r w:rsidRPr="007A4F0B">
        <w:rPr>
          <w:rFonts w:ascii="Times New Roman" w:hAnsi="Times New Roman" w:cs="Times New Roman"/>
          <w:sz w:val="24"/>
          <w:szCs w:val="24"/>
        </w:rPr>
        <w:t xml:space="preserve"> selon l’article 6, l’Etat prend en charge le différentiel entre le taux d’intérêt de certains prêts et le taux moyen du marché monétaire dans la limite de deux points pour les prêts octroyés p</w:t>
      </w:r>
      <w:r>
        <w:rPr>
          <w:rFonts w:ascii="Times New Roman" w:hAnsi="Times New Roman" w:cs="Times New Roman"/>
          <w:sz w:val="24"/>
          <w:szCs w:val="24"/>
        </w:rPr>
        <w:t>ar les établissements de crédit</w:t>
      </w:r>
      <w:r w:rsidRPr="007A4F0B">
        <w:rPr>
          <w:rFonts w:ascii="Times New Roman" w:hAnsi="Times New Roman" w:cs="Times New Roman"/>
          <w:sz w:val="24"/>
          <w:szCs w:val="24"/>
        </w:rPr>
        <w:t xml:space="preserve"> </w:t>
      </w:r>
      <w:r>
        <w:rPr>
          <w:rFonts w:ascii="Times New Roman" w:hAnsi="Times New Roman" w:cs="Times New Roman"/>
          <w:sz w:val="24"/>
          <w:szCs w:val="24"/>
        </w:rPr>
        <w:t>aux</w:t>
      </w:r>
      <w:r w:rsidRPr="007A4F0B">
        <w:rPr>
          <w:rFonts w:ascii="Times New Roman" w:hAnsi="Times New Roman" w:cs="Times New Roman"/>
          <w:sz w:val="24"/>
          <w:szCs w:val="24"/>
        </w:rPr>
        <w:t xml:space="preserve"> entreprises </w:t>
      </w:r>
      <w:r>
        <w:rPr>
          <w:rFonts w:ascii="Times New Roman" w:hAnsi="Times New Roman" w:cs="Times New Roman"/>
          <w:sz w:val="24"/>
          <w:szCs w:val="24"/>
        </w:rPr>
        <w:t>lésées</w:t>
      </w:r>
      <w:r w:rsidRPr="007A4F0B">
        <w:rPr>
          <w:rFonts w:ascii="Times New Roman" w:hAnsi="Times New Roman" w:cs="Times New Roman"/>
          <w:sz w:val="24"/>
          <w:szCs w:val="24"/>
        </w:rPr>
        <w:t>. Le même décret</w:t>
      </w:r>
      <w:r>
        <w:rPr>
          <w:rFonts w:ascii="Times New Roman" w:hAnsi="Times New Roman" w:cs="Times New Roman"/>
          <w:sz w:val="24"/>
          <w:szCs w:val="24"/>
        </w:rPr>
        <w:t>-loi</w:t>
      </w:r>
      <w:r w:rsidRPr="007A4F0B">
        <w:rPr>
          <w:rFonts w:ascii="Times New Roman" w:hAnsi="Times New Roman" w:cs="Times New Roman"/>
          <w:sz w:val="24"/>
          <w:szCs w:val="24"/>
        </w:rPr>
        <w:t xml:space="preserve"> enfin, instaure un système de garantie, assuré par la </w:t>
      </w:r>
      <w:r>
        <w:rPr>
          <w:rFonts w:ascii="Times New Roman" w:hAnsi="Times New Roman" w:cs="Times New Roman"/>
          <w:sz w:val="24"/>
          <w:szCs w:val="24"/>
        </w:rPr>
        <w:t>S</w:t>
      </w:r>
      <w:r w:rsidRPr="007A4F0B">
        <w:rPr>
          <w:rFonts w:ascii="Times New Roman" w:hAnsi="Times New Roman" w:cs="Times New Roman"/>
          <w:sz w:val="24"/>
          <w:szCs w:val="24"/>
        </w:rPr>
        <w:t>ociété tunisienne de garantie en vertu d’une convention conclue avec le ministère de fi</w:t>
      </w:r>
      <w:r>
        <w:rPr>
          <w:rFonts w:ascii="Times New Roman" w:hAnsi="Times New Roman" w:cs="Times New Roman"/>
          <w:sz w:val="24"/>
          <w:szCs w:val="24"/>
        </w:rPr>
        <w:t xml:space="preserve">nance tunisien, </w:t>
      </w:r>
      <w:r w:rsidRPr="007A4F0B">
        <w:rPr>
          <w:rFonts w:ascii="Times New Roman" w:hAnsi="Times New Roman" w:cs="Times New Roman"/>
          <w:sz w:val="24"/>
          <w:szCs w:val="24"/>
        </w:rPr>
        <w:t>des crédits octroyés au profit des entreprises lésées. Ce mécanisme de garantie couvre les crédits de financement des opérations de réparation des dommages et dégâts, et octroyés pendant la période du début du mois de décembre 2010 jusqu'à la fin de l'année en cours.</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second décret-loi adopté par la </w:t>
      </w:r>
      <w:r w:rsidRPr="007A4F0B">
        <w:rPr>
          <w:rFonts w:ascii="Times New Roman" w:hAnsi="Times New Roman" w:cs="Times New Roman"/>
          <w:sz w:val="24"/>
          <w:szCs w:val="24"/>
        </w:rPr>
        <w:t>Tunisie concerne les entreprises opérant dans le domaine touristique. Il accorde les même</w:t>
      </w:r>
      <w:r>
        <w:rPr>
          <w:rFonts w:ascii="Times New Roman" w:hAnsi="Times New Roman" w:cs="Times New Roman"/>
          <w:sz w:val="24"/>
          <w:szCs w:val="24"/>
        </w:rPr>
        <w:t>s</w:t>
      </w:r>
      <w:r w:rsidRPr="007A4F0B">
        <w:rPr>
          <w:rFonts w:ascii="Times New Roman" w:hAnsi="Times New Roman" w:cs="Times New Roman"/>
          <w:sz w:val="24"/>
          <w:szCs w:val="24"/>
        </w:rPr>
        <w:t xml:space="preserve"> avantages </w:t>
      </w:r>
      <w:r>
        <w:rPr>
          <w:rFonts w:ascii="Times New Roman" w:hAnsi="Times New Roman" w:cs="Times New Roman"/>
          <w:sz w:val="24"/>
          <w:szCs w:val="24"/>
        </w:rPr>
        <w:t>prévus dans le décret loi n°2011-29 aux entreprises</w:t>
      </w:r>
      <w:r w:rsidRPr="007A4F0B">
        <w:rPr>
          <w:rFonts w:ascii="Times New Roman" w:hAnsi="Times New Roman" w:cs="Times New Roman"/>
          <w:sz w:val="24"/>
          <w:szCs w:val="24"/>
        </w:rPr>
        <w:t xml:space="preserve"> to</w:t>
      </w:r>
      <w:r>
        <w:rPr>
          <w:rFonts w:ascii="Times New Roman" w:hAnsi="Times New Roman" w:cs="Times New Roman"/>
          <w:sz w:val="24"/>
          <w:szCs w:val="24"/>
        </w:rPr>
        <w:t>uristiques. Il s’agit du décret-</w:t>
      </w:r>
      <w:r w:rsidRPr="007A4F0B">
        <w:rPr>
          <w:rFonts w:ascii="Times New Roman" w:hAnsi="Times New Roman" w:cs="Times New Roman"/>
          <w:sz w:val="24"/>
          <w:szCs w:val="24"/>
        </w:rPr>
        <w:t>loi n°</w:t>
      </w:r>
      <w:r>
        <w:rPr>
          <w:rFonts w:ascii="Times New Roman" w:hAnsi="Times New Roman" w:cs="Times New Roman"/>
          <w:sz w:val="24"/>
          <w:szCs w:val="24"/>
        </w:rPr>
        <w:t>2011-</w:t>
      </w:r>
      <w:r w:rsidRPr="007A4F0B">
        <w:rPr>
          <w:rFonts w:ascii="Times New Roman" w:hAnsi="Times New Roman" w:cs="Times New Roman"/>
          <w:sz w:val="24"/>
          <w:szCs w:val="24"/>
        </w:rPr>
        <w:t>53 du 8 juin 2011 portant mesures conjoncturelles de soutien aux entreprises touristiques qui ont subi des dommages suite aux incendies, destruction ou vol des biens ou ont  connu un ralentissement sensible, ou un arrêt définitif de leur activité, et qui a engendré des effets sur leurs chiffres d'affaires, leurs solvabilité et leurs relations avec leurs clientèles et ce pour des raisons étroitement liées à la conjoncture provisoire du pays</w:t>
      </w:r>
      <w:r>
        <w:rPr>
          <w:rStyle w:val="Appelnotedebasdep"/>
          <w:rFonts w:ascii="Times New Roman" w:hAnsi="Times New Roman"/>
          <w:sz w:val="24"/>
          <w:szCs w:val="24"/>
        </w:rPr>
        <w:footnoteReference w:id="23"/>
      </w:r>
      <w:r>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sidRPr="007A4F0B">
        <w:rPr>
          <w:rFonts w:ascii="Times New Roman" w:hAnsi="Times New Roman" w:cs="Times New Roman"/>
          <w:sz w:val="24"/>
          <w:szCs w:val="24"/>
        </w:rPr>
        <w:lastRenderedPageBreak/>
        <w:t xml:space="preserve">Ces </w:t>
      </w:r>
      <w:r>
        <w:rPr>
          <w:rFonts w:ascii="Times New Roman" w:hAnsi="Times New Roman" w:cs="Times New Roman"/>
          <w:sz w:val="24"/>
          <w:szCs w:val="24"/>
        </w:rPr>
        <w:t xml:space="preserve">trois </w:t>
      </w:r>
      <w:r w:rsidRPr="007A4F0B">
        <w:rPr>
          <w:rFonts w:ascii="Times New Roman" w:hAnsi="Times New Roman" w:cs="Times New Roman"/>
          <w:sz w:val="24"/>
          <w:szCs w:val="24"/>
        </w:rPr>
        <w:t>décret</w:t>
      </w:r>
      <w:r>
        <w:rPr>
          <w:rFonts w:ascii="Times New Roman" w:hAnsi="Times New Roman" w:cs="Times New Roman"/>
          <w:sz w:val="24"/>
          <w:szCs w:val="24"/>
        </w:rPr>
        <w:t>s</w:t>
      </w:r>
      <w:r w:rsidRPr="007A4F0B">
        <w:rPr>
          <w:rFonts w:ascii="Times New Roman" w:hAnsi="Times New Roman" w:cs="Times New Roman"/>
          <w:sz w:val="24"/>
          <w:szCs w:val="24"/>
        </w:rPr>
        <w:t>-</w:t>
      </w:r>
      <w:r>
        <w:rPr>
          <w:rFonts w:ascii="Times New Roman" w:hAnsi="Times New Roman" w:cs="Times New Roman"/>
          <w:sz w:val="24"/>
          <w:szCs w:val="24"/>
        </w:rPr>
        <w:t>lois</w:t>
      </w:r>
      <w:r w:rsidRPr="007A4F0B">
        <w:rPr>
          <w:rFonts w:ascii="Times New Roman" w:hAnsi="Times New Roman" w:cs="Times New Roman"/>
          <w:sz w:val="24"/>
          <w:szCs w:val="24"/>
        </w:rPr>
        <w:t xml:space="preserve"> s’appliquent aux </w:t>
      </w:r>
      <w:r>
        <w:rPr>
          <w:rFonts w:ascii="Times New Roman" w:hAnsi="Times New Roman" w:cs="Times New Roman"/>
          <w:sz w:val="24"/>
          <w:szCs w:val="24"/>
        </w:rPr>
        <w:t>t</w:t>
      </w:r>
      <w:r w:rsidRPr="007A4F0B">
        <w:rPr>
          <w:rFonts w:ascii="Times New Roman" w:hAnsi="Times New Roman" w:cs="Times New Roman"/>
          <w:sz w:val="24"/>
          <w:szCs w:val="24"/>
        </w:rPr>
        <w:t>unisiens et aux étrangers</w:t>
      </w:r>
      <w:r>
        <w:rPr>
          <w:rFonts w:ascii="Times New Roman" w:hAnsi="Times New Roman" w:cs="Times New Roman"/>
          <w:sz w:val="24"/>
          <w:szCs w:val="24"/>
        </w:rPr>
        <w:t>. Ils ne distinguent pas en ce qui concerne le traitement accordé entre entreprises tunisiennes et entreprises étrangères. S</w:t>
      </w:r>
      <w:r w:rsidRPr="007A4F0B">
        <w:rPr>
          <w:rFonts w:ascii="Times New Roman" w:hAnsi="Times New Roman" w:cs="Times New Roman"/>
          <w:sz w:val="24"/>
          <w:szCs w:val="24"/>
        </w:rPr>
        <w:t>ous réserve de leur application</w:t>
      </w:r>
      <w:r>
        <w:rPr>
          <w:rFonts w:ascii="Times New Roman" w:hAnsi="Times New Roman" w:cs="Times New Roman"/>
          <w:sz w:val="24"/>
          <w:szCs w:val="24"/>
        </w:rPr>
        <w:t xml:space="preserve"> effective sans discrimination</w:t>
      </w:r>
      <w:r w:rsidRPr="007A4F0B">
        <w:rPr>
          <w:rFonts w:ascii="Times New Roman" w:hAnsi="Times New Roman" w:cs="Times New Roman"/>
          <w:sz w:val="24"/>
          <w:szCs w:val="24"/>
        </w:rPr>
        <w:t xml:space="preserve">, aucune incompatibilité </w:t>
      </w:r>
      <w:r>
        <w:rPr>
          <w:rFonts w:ascii="Times New Roman" w:hAnsi="Times New Roman" w:cs="Times New Roman"/>
          <w:sz w:val="24"/>
          <w:szCs w:val="24"/>
        </w:rPr>
        <w:t xml:space="preserve">avec les engagements de la Tunisie dans les traités d’investissement </w:t>
      </w:r>
      <w:r w:rsidRPr="007A4F0B">
        <w:rPr>
          <w:rFonts w:ascii="Times New Roman" w:hAnsi="Times New Roman" w:cs="Times New Roman"/>
          <w:sz w:val="24"/>
          <w:szCs w:val="24"/>
        </w:rPr>
        <w:t xml:space="preserve">n’est à souligner.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90042A">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On souligne enfin que la clause relative à la sécurité et à la protection</w:t>
      </w:r>
      <w:r>
        <w:rPr>
          <w:rFonts w:ascii="Times New Roman" w:hAnsi="Times New Roman" w:cs="Times New Roman"/>
          <w:sz w:val="24"/>
          <w:szCs w:val="24"/>
        </w:rPr>
        <w:t xml:space="preserve"> qu’on trouve dans certains TBI conclus par la Tunisie </w:t>
      </w:r>
      <w:r w:rsidRPr="00575CF1">
        <w:rPr>
          <w:rStyle w:val="Appelnotedebasdep"/>
          <w:rFonts w:ascii="Times New Roman" w:hAnsi="Times New Roman"/>
          <w:sz w:val="24"/>
          <w:szCs w:val="24"/>
        </w:rPr>
        <w:footnoteReference w:id="24"/>
      </w:r>
      <w:r w:rsidRPr="00575CF1">
        <w:rPr>
          <w:rFonts w:ascii="Times New Roman" w:hAnsi="Times New Roman" w:cs="Times New Roman"/>
          <w:sz w:val="24"/>
          <w:szCs w:val="24"/>
        </w:rPr>
        <w:t xml:space="preserve"> peut être invoquée pour demander l’indemnisation </w:t>
      </w:r>
      <w:r>
        <w:rPr>
          <w:rFonts w:ascii="Times New Roman" w:hAnsi="Times New Roman" w:cs="Times New Roman"/>
          <w:sz w:val="24"/>
          <w:szCs w:val="24"/>
        </w:rPr>
        <w:t>à</w:t>
      </w:r>
      <w:r w:rsidRPr="00575CF1">
        <w:rPr>
          <w:rFonts w:ascii="Times New Roman" w:hAnsi="Times New Roman" w:cs="Times New Roman"/>
          <w:sz w:val="24"/>
          <w:szCs w:val="24"/>
        </w:rPr>
        <w:t xml:space="preserve"> l’Etat tunisien s’il est établi que celui-ci a failli à son devoir de protection, ce qui pose le problème de l’interprétation de cette clause et son articulation avec la clause spéciale relative à la perte d’investissement qu’on a décrite.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spacing w:after="0" w:line="240" w:lineRule="auto"/>
        <w:jc w:val="both"/>
        <w:rPr>
          <w:rFonts w:ascii="Times New Roman" w:hAnsi="Times New Roman" w:cs="Times New Roman"/>
          <w:sz w:val="24"/>
          <w:szCs w:val="24"/>
        </w:rPr>
      </w:pPr>
    </w:p>
    <w:p w:rsidR="005273ED" w:rsidRPr="008E21F0" w:rsidRDefault="005273ED" w:rsidP="00B2134D">
      <w:pPr>
        <w:pStyle w:val="Paragraphedeliste"/>
        <w:numPr>
          <w:ilvl w:val="1"/>
          <w:numId w:val="10"/>
        </w:numPr>
        <w:autoSpaceDE w:val="0"/>
        <w:autoSpaceDN w:val="0"/>
        <w:adjustRightInd w:val="0"/>
        <w:spacing w:after="0" w:line="240" w:lineRule="auto"/>
        <w:jc w:val="both"/>
        <w:rPr>
          <w:rFonts w:ascii="Times New Roman" w:hAnsi="Times New Roman" w:cs="Times New Roman"/>
          <w:b/>
          <w:bCs/>
          <w:sz w:val="24"/>
          <w:szCs w:val="24"/>
        </w:rPr>
      </w:pPr>
      <w:r w:rsidRPr="008E21F0">
        <w:rPr>
          <w:rFonts w:ascii="Times New Roman" w:hAnsi="Times New Roman" w:cs="Times New Roman"/>
          <w:b/>
          <w:bCs/>
          <w:sz w:val="24"/>
          <w:szCs w:val="24"/>
        </w:rPr>
        <w:t xml:space="preserve">Le nouveau contexte politique </w:t>
      </w:r>
      <w:r>
        <w:rPr>
          <w:rFonts w:ascii="Times New Roman" w:hAnsi="Times New Roman" w:cs="Times New Roman"/>
          <w:b/>
          <w:bCs/>
          <w:sz w:val="24"/>
          <w:szCs w:val="24"/>
        </w:rPr>
        <w:t xml:space="preserve">en Tunisie </w:t>
      </w:r>
      <w:r w:rsidRPr="008E21F0">
        <w:rPr>
          <w:rFonts w:ascii="Times New Roman" w:hAnsi="Times New Roman" w:cs="Times New Roman"/>
          <w:b/>
          <w:bCs/>
          <w:sz w:val="24"/>
          <w:szCs w:val="24"/>
        </w:rPr>
        <w:t xml:space="preserve">et l’arbitrage commercial traditionnel </w:t>
      </w:r>
    </w:p>
    <w:p w:rsidR="005273ED" w:rsidRPr="008E21F0" w:rsidRDefault="005273ED" w:rsidP="00B2134D">
      <w:pPr>
        <w:pStyle w:val="Paragraphedeliste"/>
        <w:autoSpaceDE w:val="0"/>
        <w:autoSpaceDN w:val="0"/>
        <w:adjustRightInd w:val="0"/>
        <w:spacing w:after="0" w:line="240" w:lineRule="auto"/>
        <w:ind w:left="0"/>
        <w:jc w:val="both"/>
        <w:rPr>
          <w:rFonts w:ascii="Times New Roman" w:hAnsi="Times New Roman" w:cs="Times New Roman"/>
          <w:b/>
          <w:bCs/>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Il est évident que l’arbitrage </w:t>
      </w:r>
      <w:r w:rsidRPr="00575CF1">
        <w:rPr>
          <w:rFonts w:ascii="Times New Roman" w:hAnsi="Times New Roman" w:cs="Times New Roman"/>
          <w:sz w:val="24"/>
          <w:szCs w:val="24"/>
          <w:lang w:eastAsia="fr-FR"/>
        </w:rPr>
        <w:t xml:space="preserve">constitue une composante importante de l’économie nationale et représente une des principales conditions </w:t>
      </w:r>
      <w:r>
        <w:rPr>
          <w:rFonts w:ascii="Times New Roman" w:hAnsi="Times New Roman" w:cs="Times New Roman"/>
          <w:sz w:val="24"/>
          <w:szCs w:val="24"/>
          <w:lang w:eastAsia="fr-FR"/>
        </w:rPr>
        <w:t xml:space="preserve">pour </w:t>
      </w:r>
      <w:r w:rsidRPr="00575CF1">
        <w:rPr>
          <w:rFonts w:ascii="Times New Roman" w:hAnsi="Times New Roman" w:cs="Times New Roman"/>
          <w:sz w:val="24"/>
          <w:szCs w:val="24"/>
          <w:lang w:eastAsia="fr-FR"/>
        </w:rPr>
        <w:t>sécurise</w:t>
      </w:r>
      <w:r>
        <w:rPr>
          <w:rFonts w:ascii="Times New Roman" w:hAnsi="Times New Roman" w:cs="Times New Roman"/>
          <w:sz w:val="24"/>
          <w:szCs w:val="24"/>
          <w:lang w:eastAsia="fr-FR"/>
        </w:rPr>
        <w:t>r</w:t>
      </w:r>
      <w:r w:rsidRPr="00575CF1">
        <w:rPr>
          <w:rFonts w:ascii="Times New Roman" w:hAnsi="Times New Roman" w:cs="Times New Roman"/>
          <w:sz w:val="24"/>
          <w:szCs w:val="24"/>
          <w:lang w:eastAsia="fr-FR"/>
        </w:rPr>
        <w:t xml:space="preserve"> les investisseurs </w:t>
      </w:r>
      <w:r>
        <w:rPr>
          <w:rFonts w:ascii="Times New Roman" w:hAnsi="Times New Roman" w:cs="Times New Roman"/>
          <w:sz w:val="24"/>
          <w:szCs w:val="24"/>
          <w:lang w:eastAsia="fr-FR"/>
        </w:rPr>
        <w:t xml:space="preserve">en </w:t>
      </w:r>
      <w:r w:rsidRPr="00575CF1">
        <w:rPr>
          <w:rFonts w:ascii="Times New Roman" w:hAnsi="Times New Roman" w:cs="Times New Roman"/>
          <w:sz w:val="24"/>
          <w:szCs w:val="24"/>
          <w:lang w:eastAsia="fr-FR"/>
        </w:rPr>
        <w:t xml:space="preserve">leur </w:t>
      </w:r>
      <w:proofErr w:type="gramStart"/>
      <w:r w:rsidRPr="00575CF1">
        <w:rPr>
          <w:rFonts w:ascii="Times New Roman" w:hAnsi="Times New Roman" w:cs="Times New Roman"/>
          <w:sz w:val="24"/>
          <w:szCs w:val="24"/>
          <w:lang w:eastAsia="fr-FR"/>
        </w:rPr>
        <w:t>do</w:t>
      </w:r>
      <w:r>
        <w:rPr>
          <w:rFonts w:ascii="Times New Roman" w:hAnsi="Times New Roman" w:cs="Times New Roman"/>
          <w:sz w:val="24"/>
          <w:szCs w:val="24"/>
          <w:lang w:eastAsia="fr-FR"/>
        </w:rPr>
        <w:t>nnant</w:t>
      </w:r>
      <w:proofErr w:type="gramEnd"/>
      <w:r>
        <w:rPr>
          <w:rFonts w:ascii="Times New Roman" w:hAnsi="Times New Roman" w:cs="Times New Roman"/>
          <w:sz w:val="24"/>
          <w:szCs w:val="24"/>
          <w:lang w:eastAsia="fr-FR"/>
        </w:rPr>
        <w:t xml:space="preserve"> confiance</w:t>
      </w:r>
      <w:r w:rsidRPr="00575CF1">
        <w:rPr>
          <w:rFonts w:ascii="Times New Roman" w:hAnsi="Times New Roman" w:cs="Times New Roman"/>
          <w:sz w:val="24"/>
          <w:szCs w:val="24"/>
          <w:lang w:eastAsia="fr-FR"/>
        </w:rPr>
        <w:t>. C’est la qualité de cette législation qui permet d’attirer aussi les arbitrages en Tunisie. L’arbitrage est aujourd’hui l’objet d’une forte surenchère</w:t>
      </w:r>
      <w:r w:rsidRPr="00575CF1">
        <w:rPr>
          <w:rStyle w:val="Appelnotedebasdep"/>
          <w:rFonts w:ascii="Times New Roman" w:hAnsi="Times New Roman"/>
          <w:sz w:val="24"/>
          <w:szCs w:val="24"/>
          <w:lang w:eastAsia="fr-FR"/>
        </w:rPr>
        <w:footnoteReference w:id="25"/>
      </w:r>
      <w:r w:rsidRPr="00575CF1">
        <w:rPr>
          <w:rFonts w:ascii="Times New Roman" w:hAnsi="Times New Roman" w:cs="Times New Roman"/>
          <w:sz w:val="24"/>
          <w:szCs w:val="24"/>
          <w:lang w:eastAsia="fr-FR"/>
        </w:rPr>
        <w:t xml:space="preserve">. Il y a un effet de séduction recherché par les pouvoirs publics qui affichent souvent la volonté de faire de la Tunisie </w:t>
      </w:r>
      <w:r w:rsidRPr="00575CF1">
        <w:rPr>
          <w:rFonts w:ascii="Times New Roman" w:hAnsi="Times New Roman" w:cs="Times New Roman"/>
          <w:sz w:val="24"/>
          <w:szCs w:val="24"/>
        </w:rPr>
        <w:t xml:space="preserve">une place de l’arbitrage international.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575CF1">
        <w:rPr>
          <w:rFonts w:ascii="Times New Roman" w:hAnsi="Times New Roman" w:cs="Times New Roman"/>
          <w:sz w:val="24"/>
          <w:szCs w:val="24"/>
        </w:rPr>
        <w:t>a Tunisie a</w:t>
      </w:r>
      <w:r>
        <w:rPr>
          <w:rFonts w:ascii="Times New Roman" w:hAnsi="Times New Roman" w:cs="Times New Roman"/>
          <w:sz w:val="24"/>
          <w:szCs w:val="24"/>
        </w:rPr>
        <w:t xml:space="preserve"> adopté le 26 avril 1993</w:t>
      </w:r>
      <w:r>
        <w:rPr>
          <w:rStyle w:val="Appelnotedebasdep"/>
          <w:rFonts w:ascii="Times New Roman" w:hAnsi="Times New Roman"/>
          <w:sz w:val="24"/>
          <w:szCs w:val="24"/>
        </w:rPr>
        <w:footnoteReference w:id="26"/>
      </w:r>
      <w:r w:rsidRPr="00575CF1">
        <w:rPr>
          <w:rFonts w:ascii="Times New Roman" w:hAnsi="Times New Roman" w:cs="Times New Roman"/>
          <w:sz w:val="24"/>
          <w:szCs w:val="24"/>
        </w:rPr>
        <w:t>, u</w:t>
      </w:r>
      <w:r>
        <w:rPr>
          <w:rFonts w:ascii="Times New Roman" w:hAnsi="Times New Roman" w:cs="Times New Roman"/>
          <w:sz w:val="24"/>
          <w:szCs w:val="24"/>
        </w:rPr>
        <w:t>n</w:t>
      </w:r>
      <w:r w:rsidRPr="00575CF1">
        <w:rPr>
          <w:rFonts w:ascii="Times New Roman" w:hAnsi="Times New Roman" w:cs="Times New Roman"/>
          <w:sz w:val="24"/>
          <w:szCs w:val="24"/>
        </w:rPr>
        <w:t xml:space="preserve"> code de l'arbitrage</w:t>
      </w:r>
      <w:r>
        <w:rPr>
          <w:rStyle w:val="Appelnotedebasdep"/>
          <w:rFonts w:ascii="Times New Roman" w:hAnsi="Times New Roman"/>
          <w:sz w:val="24"/>
          <w:szCs w:val="24"/>
        </w:rPr>
        <w:footnoteReference w:id="27"/>
      </w:r>
      <w:r w:rsidRPr="00575CF1">
        <w:rPr>
          <w:rFonts w:ascii="Times New Roman" w:hAnsi="Times New Roman" w:cs="Times New Roman"/>
          <w:sz w:val="24"/>
          <w:szCs w:val="24"/>
        </w:rPr>
        <w:t>, largement inspiré de la loi-type de la Commission des Nations Unies pour le Droit Commercial International (CNUDCI) avec quelques modifications. Ces modifications ont souvent compliqué la tâche de l’interprète</w:t>
      </w:r>
      <w:r w:rsidRPr="00575CF1">
        <w:rPr>
          <w:rStyle w:val="Appelnotedebasdep"/>
          <w:rFonts w:ascii="Times New Roman" w:hAnsi="Times New Roman"/>
          <w:sz w:val="24"/>
          <w:szCs w:val="24"/>
        </w:rPr>
        <w:footnoteReference w:id="28"/>
      </w:r>
      <w:r w:rsidRPr="00575CF1">
        <w:rPr>
          <w:rFonts w:ascii="Times New Roman" w:hAnsi="Times New Roman" w:cs="Times New Roman"/>
          <w:sz w:val="24"/>
          <w:szCs w:val="24"/>
        </w:rPr>
        <w:t xml:space="preserve">. </w:t>
      </w:r>
    </w:p>
    <w:p w:rsidR="005273ED" w:rsidRDefault="005273ED" w:rsidP="00B2134D">
      <w:pPr>
        <w:spacing w:after="0" w:line="240" w:lineRule="auto"/>
        <w:jc w:val="both"/>
        <w:rPr>
          <w:rFonts w:ascii="Times New Roman" w:hAnsi="Times New Roman" w:cs="Times New Roman"/>
          <w:sz w:val="24"/>
          <w:szCs w:val="24"/>
        </w:rPr>
      </w:pPr>
    </w:p>
    <w:p w:rsidR="005273ED" w:rsidRPr="00575CF1" w:rsidRDefault="005273ED" w:rsidP="0090042A">
      <w:p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Sur certains aspects, le texte est très moderne. Il </w:t>
      </w:r>
      <w:r>
        <w:rPr>
          <w:rFonts w:ascii="Times New Roman" w:hAnsi="Times New Roman" w:cs="Times New Roman"/>
          <w:sz w:val="24"/>
          <w:szCs w:val="24"/>
        </w:rPr>
        <w:t>consacre</w:t>
      </w:r>
      <w:r w:rsidRPr="00575CF1">
        <w:rPr>
          <w:rFonts w:ascii="Times New Roman" w:hAnsi="Times New Roman" w:cs="Times New Roman"/>
          <w:sz w:val="24"/>
          <w:szCs w:val="24"/>
        </w:rPr>
        <w:t xml:space="preserve"> l’autonomie de la clause d’arbitrage (Article 61). Il reconnait la possibilité de renoncer au recours d’annulation si les parties n’ont pas en Tunisie leur domicile, résidenc</w:t>
      </w:r>
      <w:r>
        <w:rPr>
          <w:rFonts w:ascii="Times New Roman" w:hAnsi="Times New Roman" w:cs="Times New Roman"/>
          <w:sz w:val="24"/>
          <w:szCs w:val="24"/>
        </w:rPr>
        <w:t>e ou établissement (Article 78.</w:t>
      </w:r>
      <w:r w:rsidRPr="00575CF1">
        <w:rPr>
          <w:rFonts w:ascii="Times New Roman" w:hAnsi="Times New Roman" w:cs="Times New Roman"/>
          <w:sz w:val="24"/>
          <w:szCs w:val="24"/>
        </w:rPr>
        <w:t>6)</w:t>
      </w:r>
      <w:r>
        <w:rPr>
          <w:rFonts w:ascii="Times New Roman" w:hAnsi="Times New Roman" w:cs="Times New Roman"/>
          <w:sz w:val="24"/>
          <w:szCs w:val="24"/>
        </w:rPr>
        <w:t xml:space="preserve"> et réaffirme le principe compétence-compétence (Article 52)</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Il n’est </w:t>
      </w:r>
      <w:r>
        <w:rPr>
          <w:rFonts w:ascii="Times New Roman" w:hAnsi="Times New Roman" w:cs="Times New Roman"/>
          <w:sz w:val="24"/>
          <w:szCs w:val="24"/>
        </w:rPr>
        <w:t xml:space="preserve">point </w:t>
      </w:r>
      <w:r w:rsidRPr="00575CF1">
        <w:rPr>
          <w:rFonts w:ascii="Times New Roman" w:hAnsi="Times New Roman" w:cs="Times New Roman"/>
          <w:sz w:val="24"/>
          <w:szCs w:val="24"/>
        </w:rPr>
        <w:t>ici d’évaluer les dispositions de la loi tunisienne sur l’arbitrage</w:t>
      </w:r>
      <w:r>
        <w:rPr>
          <w:rFonts w:ascii="Times New Roman" w:hAnsi="Times New Roman" w:cs="Times New Roman"/>
          <w:sz w:val="24"/>
          <w:szCs w:val="24"/>
        </w:rPr>
        <w:t>, m</w:t>
      </w:r>
      <w:r w:rsidRPr="00575CF1">
        <w:rPr>
          <w:rFonts w:ascii="Times New Roman" w:hAnsi="Times New Roman" w:cs="Times New Roman"/>
          <w:sz w:val="24"/>
          <w:szCs w:val="24"/>
        </w:rPr>
        <w:t xml:space="preserve">ais d’évoquer certaines évolutions récentes de la jurisprudence tunisienne en la matière. Comme il a été dit par Mme </w:t>
      </w:r>
      <w:proofErr w:type="spellStart"/>
      <w:r w:rsidRPr="00575CF1">
        <w:rPr>
          <w:rFonts w:ascii="Times New Roman" w:hAnsi="Times New Roman" w:cs="Times New Roman"/>
          <w:sz w:val="24"/>
          <w:szCs w:val="24"/>
        </w:rPr>
        <w:t>Meziou</w:t>
      </w:r>
      <w:proofErr w:type="spellEnd"/>
      <w:r w:rsidRPr="00575CF1">
        <w:rPr>
          <w:rFonts w:ascii="Times New Roman" w:hAnsi="Times New Roman" w:cs="Times New Roman"/>
          <w:sz w:val="24"/>
          <w:szCs w:val="24"/>
        </w:rPr>
        <w:t xml:space="preserve">, </w:t>
      </w:r>
      <w:r w:rsidRPr="00954213">
        <w:rPr>
          <w:rFonts w:ascii="Times New Roman" w:hAnsi="Times New Roman" w:cs="Times New Roman"/>
          <w:i/>
          <w:iCs/>
          <w:sz w:val="24"/>
          <w:szCs w:val="24"/>
        </w:rPr>
        <w:t>« l’essentiel n’est pas seulement dans l’énumération abstraite des règles, il est aussi dans la pratique, dans son acceptation par les parties et dans l’attitude des juges</w:t>
      </w:r>
      <w:r w:rsidRPr="00575CF1">
        <w:rPr>
          <w:rFonts w:ascii="Times New Roman" w:hAnsi="Times New Roman" w:cs="Times New Roman"/>
          <w:sz w:val="24"/>
          <w:szCs w:val="24"/>
        </w:rPr>
        <w:t> »</w:t>
      </w:r>
      <w:r w:rsidRPr="00575CF1">
        <w:rPr>
          <w:rStyle w:val="Appelnotedebasdep"/>
          <w:rFonts w:ascii="Times New Roman" w:hAnsi="Times New Roman"/>
          <w:sz w:val="24"/>
          <w:szCs w:val="24"/>
        </w:rPr>
        <w:footnoteReference w:id="29"/>
      </w:r>
      <w:r w:rsidRPr="00575CF1">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90042A">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L’examen de la jurisprudence récente montre que le droit jurisprudentiel tunisien est partagé entre deux tendances, entre deux culture</w:t>
      </w:r>
      <w:r>
        <w:rPr>
          <w:rFonts w:ascii="Times New Roman" w:hAnsi="Times New Roman" w:cs="Times New Roman"/>
          <w:sz w:val="24"/>
          <w:szCs w:val="24"/>
        </w:rPr>
        <w:t>s :</w:t>
      </w:r>
      <w:r w:rsidRPr="00575CF1">
        <w:rPr>
          <w:rFonts w:ascii="Times New Roman" w:hAnsi="Times New Roman" w:cs="Times New Roman"/>
          <w:sz w:val="24"/>
          <w:szCs w:val="24"/>
        </w:rPr>
        <w:t xml:space="preserve"> une tendance révolutionnaire moderniste </w:t>
      </w:r>
      <w:r w:rsidRPr="00575CF1">
        <w:rPr>
          <w:rFonts w:ascii="Times New Roman" w:hAnsi="Times New Roman" w:cs="Times New Roman"/>
          <w:sz w:val="24"/>
          <w:szCs w:val="24"/>
        </w:rPr>
        <w:lastRenderedPageBreak/>
        <w:t xml:space="preserve">progressiste et une tendance conservatrice, voir hostile à l’arbitrage. Il y a donc en droit tunisien de l’arbitrage commercial une révolution </w:t>
      </w:r>
      <w:r>
        <w:rPr>
          <w:rFonts w:ascii="Times New Roman" w:hAnsi="Times New Roman" w:cs="Times New Roman"/>
          <w:sz w:val="24"/>
          <w:szCs w:val="24"/>
        </w:rPr>
        <w:t xml:space="preserve">(1) </w:t>
      </w:r>
      <w:r w:rsidRPr="00575CF1">
        <w:rPr>
          <w:rFonts w:ascii="Times New Roman" w:hAnsi="Times New Roman" w:cs="Times New Roman"/>
          <w:sz w:val="24"/>
          <w:szCs w:val="24"/>
        </w:rPr>
        <w:t>et une contre-révolution</w:t>
      </w:r>
      <w:r>
        <w:rPr>
          <w:rFonts w:ascii="Times New Roman" w:hAnsi="Times New Roman" w:cs="Times New Roman"/>
          <w:sz w:val="24"/>
          <w:szCs w:val="24"/>
        </w:rPr>
        <w:t xml:space="preserve"> (2)</w:t>
      </w:r>
      <w:r w:rsidRPr="00575CF1">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pStyle w:val="Paragraphedeliste"/>
        <w:numPr>
          <w:ilvl w:val="0"/>
          <w:numId w:val="13"/>
        </w:numPr>
        <w:spacing w:after="0" w:line="240" w:lineRule="auto"/>
        <w:jc w:val="both"/>
        <w:rPr>
          <w:rFonts w:ascii="Times New Roman" w:hAnsi="Times New Roman" w:cs="Times New Roman"/>
          <w:b/>
          <w:bCs/>
          <w:sz w:val="24"/>
          <w:szCs w:val="24"/>
        </w:rPr>
      </w:pPr>
      <w:r w:rsidRPr="00AA5E7A">
        <w:rPr>
          <w:rFonts w:ascii="Times New Roman" w:hAnsi="Times New Roman" w:cs="Times New Roman"/>
          <w:b/>
          <w:bCs/>
          <w:sz w:val="24"/>
          <w:szCs w:val="24"/>
        </w:rPr>
        <w:t xml:space="preserve">Une révolution : l’admission de </w:t>
      </w:r>
      <w:r>
        <w:rPr>
          <w:rFonts w:ascii="Times New Roman" w:hAnsi="Times New Roman" w:cs="Times New Roman"/>
          <w:b/>
          <w:bCs/>
          <w:sz w:val="24"/>
          <w:szCs w:val="24"/>
        </w:rPr>
        <w:t>l’</w:t>
      </w:r>
      <w:r w:rsidRPr="00985063">
        <w:rPr>
          <w:rFonts w:ascii="Times New Roman" w:hAnsi="Times New Roman" w:cs="Times New Roman"/>
          <w:b/>
          <w:bCs/>
          <w:i/>
          <w:iCs/>
          <w:sz w:val="24"/>
          <w:szCs w:val="24"/>
        </w:rPr>
        <w:t xml:space="preserve">estoppel </w:t>
      </w:r>
      <w:r>
        <w:rPr>
          <w:rFonts w:ascii="Times New Roman" w:hAnsi="Times New Roman" w:cs="Times New Roman"/>
          <w:b/>
          <w:bCs/>
          <w:sz w:val="24"/>
          <w:szCs w:val="24"/>
        </w:rPr>
        <w:t>et de la loyauté procédurale</w:t>
      </w:r>
    </w:p>
    <w:p w:rsidR="005273ED" w:rsidRPr="00AA5E7A" w:rsidRDefault="005273ED" w:rsidP="00B2134D">
      <w:pPr>
        <w:pStyle w:val="Paragraphedeliste"/>
        <w:spacing w:after="0" w:line="240" w:lineRule="auto"/>
        <w:ind w:left="705"/>
        <w:jc w:val="both"/>
        <w:rPr>
          <w:rFonts w:ascii="Times New Roman" w:hAnsi="Times New Roman" w:cs="Times New Roman"/>
          <w:b/>
          <w:bCs/>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Le problème s’est posé </w:t>
      </w:r>
      <w:r>
        <w:rPr>
          <w:rFonts w:ascii="Times New Roman" w:hAnsi="Times New Roman" w:cs="Times New Roman"/>
          <w:sz w:val="24"/>
          <w:szCs w:val="24"/>
        </w:rPr>
        <w:t xml:space="preserve">initialement </w:t>
      </w:r>
      <w:r w:rsidRPr="00575CF1">
        <w:rPr>
          <w:rFonts w:ascii="Times New Roman" w:hAnsi="Times New Roman" w:cs="Times New Roman"/>
          <w:sz w:val="24"/>
          <w:szCs w:val="24"/>
        </w:rPr>
        <w:t xml:space="preserve">en ce qui concerne l’article 50 du code tunisien de l’arbitrage relative à la renonciation des irrégularités de la procédure arbitrale, selon </w:t>
      </w:r>
      <w:r>
        <w:rPr>
          <w:rFonts w:ascii="Times New Roman" w:hAnsi="Times New Roman" w:cs="Times New Roman"/>
          <w:sz w:val="24"/>
          <w:szCs w:val="24"/>
        </w:rPr>
        <w:t>lequel</w:t>
      </w:r>
      <w:r w:rsidRPr="00575CF1">
        <w:rPr>
          <w:rFonts w:ascii="Times New Roman" w:hAnsi="Times New Roman" w:cs="Times New Roman"/>
          <w:sz w:val="24"/>
          <w:szCs w:val="24"/>
        </w:rPr>
        <w:t xml:space="preserve"> </w:t>
      </w:r>
      <w:r>
        <w:rPr>
          <w:rFonts w:ascii="Times New Roman" w:hAnsi="Times New Roman" w:cs="Times New Roman"/>
          <w:sz w:val="24"/>
          <w:szCs w:val="24"/>
        </w:rPr>
        <w:t>« </w:t>
      </w:r>
      <w:r w:rsidRPr="00575CF1">
        <w:rPr>
          <w:rFonts w:ascii="Times New Roman" w:hAnsi="Times New Roman" w:cs="Times New Roman"/>
          <w:i/>
          <w:sz w:val="24"/>
          <w:szCs w:val="24"/>
        </w:rPr>
        <w:t>Est réputée avoir renoncé à son droit de faire</w:t>
      </w:r>
      <w:r>
        <w:rPr>
          <w:rFonts w:ascii="Times New Roman" w:hAnsi="Times New Roman" w:cs="Times New Roman"/>
          <w:i/>
          <w:sz w:val="24"/>
          <w:szCs w:val="24"/>
        </w:rPr>
        <w:t xml:space="preserve"> </w:t>
      </w:r>
      <w:r w:rsidRPr="00575CF1">
        <w:rPr>
          <w:rFonts w:ascii="Times New Roman" w:hAnsi="Times New Roman" w:cs="Times New Roman"/>
          <w:i/>
          <w:sz w:val="24"/>
          <w:szCs w:val="24"/>
        </w:rPr>
        <w:t xml:space="preserve"> objection toute partie qui, bien qu’elle sache le non respect d’une clause d’arbitrage ou la dérog</w:t>
      </w:r>
      <w:r>
        <w:rPr>
          <w:rFonts w:ascii="Times New Roman" w:hAnsi="Times New Roman" w:cs="Times New Roman"/>
          <w:i/>
          <w:sz w:val="24"/>
          <w:szCs w:val="24"/>
        </w:rPr>
        <w:t xml:space="preserve">ation à une disposition </w:t>
      </w:r>
      <w:r w:rsidRPr="00575CF1">
        <w:rPr>
          <w:rFonts w:ascii="Times New Roman" w:hAnsi="Times New Roman" w:cs="Times New Roman"/>
          <w:i/>
          <w:sz w:val="24"/>
          <w:szCs w:val="24"/>
        </w:rPr>
        <w:t>du présent chapitre que les parties peuvent invoquer, poursuit néanmoins l’arbitrage sans formuler d’objection promptement ou dans le délai, si un délai a été prévu à cet effet</w:t>
      </w:r>
      <w:r>
        <w:rPr>
          <w:rFonts w:ascii="Times New Roman" w:hAnsi="Times New Roman" w:cs="Times New Roman"/>
          <w:sz w:val="24"/>
          <w:szCs w:val="24"/>
        </w:rPr>
        <w:t> »</w:t>
      </w:r>
      <w:r w:rsidRPr="00575CF1">
        <w:rPr>
          <w:rFonts w:ascii="Times New Roman" w:hAnsi="Times New Roman" w:cs="Times New Roman"/>
          <w:sz w:val="24"/>
          <w:szCs w:val="24"/>
        </w:rPr>
        <w:t>.</w:t>
      </w:r>
      <w:r>
        <w:rPr>
          <w:rFonts w:ascii="Times New Roman" w:hAnsi="Times New Roman" w:cs="Times New Roman"/>
          <w:sz w:val="24"/>
          <w:szCs w:val="24"/>
        </w:rPr>
        <w:t xml:space="preserve"> Il en résulte </w:t>
      </w:r>
      <w:r w:rsidRPr="00575CF1">
        <w:rPr>
          <w:rFonts w:ascii="Times New Roman" w:hAnsi="Times New Roman" w:cs="Times New Roman"/>
          <w:sz w:val="24"/>
          <w:szCs w:val="24"/>
        </w:rPr>
        <w:t xml:space="preserve"> </w:t>
      </w:r>
      <w:r>
        <w:rPr>
          <w:rFonts w:ascii="Times New Roman" w:hAnsi="Times New Roman" w:cs="Times New Roman"/>
          <w:sz w:val="24"/>
          <w:szCs w:val="24"/>
        </w:rPr>
        <w:t>qu’une</w:t>
      </w:r>
      <w:r w:rsidRPr="00575CF1">
        <w:rPr>
          <w:rFonts w:ascii="Times New Roman" w:hAnsi="Times New Roman" w:cs="Times New Roman"/>
          <w:sz w:val="24"/>
          <w:szCs w:val="24"/>
        </w:rPr>
        <w:t xml:space="preserve"> partie qui ne soulève pas les irrégularités dans les délais, est considéré</w:t>
      </w:r>
      <w:r>
        <w:rPr>
          <w:rFonts w:ascii="Times New Roman" w:hAnsi="Times New Roman" w:cs="Times New Roman"/>
          <w:sz w:val="24"/>
          <w:szCs w:val="24"/>
        </w:rPr>
        <w:t>e</w:t>
      </w:r>
      <w:r w:rsidRPr="00575CF1">
        <w:rPr>
          <w:rFonts w:ascii="Times New Roman" w:hAnsi="Times New Roman" w:cs="Times New Roman"/>
          <w:sz w:val="24"/>
          <w:szCs w:val="24"/>
        </w:rPr>
        <w:t xml:space="preserve"> comme ayant renoncé à son droit de faire objection</w:t>
      </w:r>
      <w:r>
        <w:rPr>
          <w:rFonts w:ascii="Times New Roman" w:hAnsi="Times New Roman" w:cs="Times New Roman"/>
          <w:sz w:val="24"/>
          <w:szCs w:val="24"/>
        </w:rPr>
        <w:t>.</w:t>
      </w:r>
    </w:p>
    <w:p w:rsidR="005273ED" w:rsidRPr="00446561" w:rsidRDefault="005273ED" w:rsidP="00B2134D">
      <w:pPr>
        <w:spacing w:after="0" w:line="240" w:lineRule="auto"/>
        <w:jc w:val="both"/>
        <w:rPr>
          <w:rStyle w:val="lev"/>
          <w:rFonts w:ascii="Times New Roman" w:hAnsi="Times New Roman"/>
          <w:b w:val="0"/>
          <w:bCs w:val="0"/>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Cette disposition est prévue dans le chapitre III du code relatif à l’arbitrage international. Mais rien n’est prévu dans </w:t>
      </w:r>
      <w:r>
        <w:rPr>
          <w:rFonts w:ascii="Times New Roman" w:hAnsi="Times New Roman" w:cs="Times New Roman"/>
          <w:sz w:val="24"/>
          <w:szCs w:val="24"/>
        </w:rPr>
        <w:t xml:space="preserve">LE CODE </w:t>
      </w:r>
      <w:r w:rsidRPr="00575CF1">
        <w:rPr>
          <w:rFonts w:ascii="Times New Roman" w:hAnsi="Times New Roman" w:cs="Times New Roman"/>
          <w:sz w:val="24"/>
          <w:szCs w:val="24"/>
        </w:rPr>
        <w:t xml:space="preserve">ce concerne l’arbitrage interne. Dans les affaires </w:t>
      </w:r>
      <w:proofErr w:type="spellStart"/>
      <w:r w:rsidRPr="009704DC">
        <w:rPr>
          <w:rFonts w:ascii="Times New Roman" w:hAnsi="Times New Roman" w:cs="Times New Roman"/>
          <w:i/>
          <w:iCs/>
          <w:sz w:val="24"/>
          <w:szCs w:val="24"/>
        </w:rPr>
        <w:t>Eltaif</w:t>
      </w:r>
      <w:proofErr w:type="spellEnd"/>
      <w:r w:rsidRPr="009704DC">
        <w:rPr>
          <w:rFonts w:ascii="Times New Roman" w:hAnsi="Times New Roman" w:cs="Times New Roman"/>
          <w:i/>
          <w:iCs/>
          <w:sz w:val="24"/>
          <w:szCs w:val="24"/>
        </w:rPr>
        <w:t xml:space="preserve"> c</w:t>
      </w:r>
      <w:proofErr w:type="gramStart"/>
      <w:r w:rsidRPr="009704DC">
        <w:rPr>
          <w:rFonts w:ascii="Times New Roman" w:hAnsi="Times New Roman" w:cs="Times New Roman"/>
          <w:i/>
          <w:iCs/>
          <w:sz w:val="24"/>
          <w:szCs w:val="24"/>
        </w:rPr>
        <w:t>./</w:t>
      </w:r>
      <w:proofErr w:type="gramEnd"/>
      <w:r w:rsidRPr="009704DC">
        <w:rPr>
          <w:rFonts w:ascii="Times New Roman" w:hAnsi="Times New Roman" w:cs="Times New Roman"/>
          <w:i/>
          <w:iCs/>
          <w:sz w:val="24"/>
          <w:szCs w:val="24"/>
        </w:rPr>
        <w:t xml:space="preserve"> Bel Azur</w:t>
      </w:r>
      <w:r w:rsidRPr="00575CF1">
        <w:rPr>
          <w:rFonts w:ascii="Times New Roman" w:hAnsi="Times New Roman" w:cs="Times New Roman"/>
          <w:sz w:val="24"/>
          <w:szCs w:val="24"/>
        </w:rPr>
        <w:t xml:space="preserve"> et société </w:t>
      </w:r>
      <w:proofErr w:type="spellStart"/>
      <w:r w:rsidRPr="009704DC">
        <w:rPr>
          <w:rFonts w:ascii="Times New Roman" w:hAnsi="Times New Roman" w:cs="Times New Roman"/>
          <w:i/>
          <w:iCs/>
          <w:sz w:val="24"/>
          <w:szCs w:val="24"/>
        </w:rPr>
        <w:t>Get</w:t>
      </w:r>
      <w:proofErr w:type="spellEnd"/>
      <w:r w:rsidRPr="009704DC">
        <w:rPr>
          <w:rFonts w:ascii="Times New Roman" w:hAnsi="Times New Roman" w:cs="Times New Roman"/>
          <w:i/>
          <w:iCs/>
          <w:sz w:val="24"/>
          <w:szCs w:val="24"/>
        </w:rPr>
        <w:t xml:space="preserve"> c./ </w:t>
      </w:r>
      <w:proofErr w:type="spellStart"/>
      <w:r w:rsidRPr="009704DC">
        <w:rPr>
          <w:rFonts w:ascii="Times New Roman" w:hAnsi="Times New Roman" w:cs="Times New Roman"/>
          <w:i/>
          <w:iCs/>
          <w:sz w:val="24"/>
          <w:szCs w:val="24"/>
        </w:rPr>
        <w:t>Hedia</w:t>
      </w:r>
      <w:proofErr w:type="spellEnd"/>
      <w:r w:rsidRPr="00575CF1">
        <w:rPr>
          <w:rStyle w:val="Appelnotedebasdep"/>
          <w:rFonts w:ascii="Times New Roman" w:hAnsi="Times New Roman"/>
          <w:sz w:val="24"/>
          <w:szCs w:val="24"/>
        </w:rPr>
        <w:footnoteReference w:id="30"/>
      </w:r>
      <w:r w:rsidRPr="00575CF1">
        <w:rPr>
          <w:rFonts w:ascii="Times New Roman" w:hAnsi="Times New Roman" w:cs="Times New Roman"/>
          <w:sz w:val="24"/>
          <w:szCs w:val="24"/>
        </w:rPr>
        <w:t xml:space="preserve">, la </w:t>
      </w:r>
      <w:r>
        <w:rPr>
          <w:rFonts w:ascii="Times New Roman" w:hAnsi="Times New Roman" w:cs="Times New Roman"/>
          <w:sz w:val="24"/>
          <w:szCs w:val="24"/>
        </w:rPr>
        <w:t>C</w:t>
      </w:r>
      <w:r w:rsidRPr="00575CF1">
        <w:rPr>
          <w:rFonts w:ascii="Times New Roman" w:hAnsi="Times New Roman" w:cs="Times New Roman"/>
          <w:sz w:val="24"/>
          <w:szCs w:val="24"/>
        </w:rPr>
        <w:t xml:space="preserve">our de cassation a étendu ce principe à l’arbitrage interne.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Dans un autre arrêt pl</w:t>
      </w:r>
      <w:r>
        <w:rPr>
          <w:rFonts w:ascii="Times New Roman" w:hAnsi="Times New Roman" w:cs="Times New Roman"/>
          <w:sz w:val="24"/>
          <w:szCs w:val="24"/>
        </w:rPr>
        <w:t xml:space="preserve">us récent </w:t>
      </w:r>
      <w:proofErr w:type="spellStart"/>
      <w:r w:rsidRPr="00C04AB9">
        <w:rPr>
          <w:rFonts w:ascii="Times New Roman" w:hAnsi="Times New Roman" w:cs="Times New Roman"/>
          <w:i/>
          <w:iCs/>
          <w:sz w:val="24"/>
          <w:szCs w:val="24"/>
        </w:rPr>
        <w:t>Flamengo</w:t>
      </w:r>
      <w:proofErr w:type="spellEnd"/>
      <w:r w:rsidRPr="00C04AB9">
        <w:rPr>
          <w:rFonts w:ascii="Times New Roman" w:hAnsi="Times New Roman" w:cs="Times New Roman"/>
          <w:i/>
          <w:iCs/>
          <w:sz w:val="24"/>
          <w:szCs w:val="24"/>
        </w:rPr>
        <w:t xml:space="preserve"> </w:t>
      </w:r>
      <w:proofErr w:type="gramStart"/>
      <w:r w:rsidRPr="00C04AB9">
        <w:rPr>
          <w:rFonts w:ascii="Times New Roman" w:hAnsi="Times New Roman" w:cs="Times New Roman"/>
          <w:i/>
          <w:iCs/>
          <w:sz w:val="24"/>
          <w:szCs w:val="24"/>
        </w:rPr>
        <w:t>Center</w:t>
      </w:r>
      <w:r w:rsidRPr="00575CF1">
        <w:rPr>
          <w:rFonts w:ascii="Times New Roman" w:hAnsi="Times New Roman" w:cs="Times New Roman"/>
          <w:sz w:val="24"/>
          <w:szCs w:val="24"/>
        </w:rPr>
        <w:t xml:space="preserve"> </w:t>
      </w:r>
      <w:proofErr w:type="gramEnd"/>
      <w:r>
        <w:rPr>
          <w:rStyle w:val="Appelnotedebasdep"/>
          <w:rFonts w:ascii="Times New Roman" w:hAnsi="Times New Roman"/>
          <w:sz w:val="24"/>
          <w:szCs w:val="24"/>
        </w:rPr>
        <w:footnoteReference w:id="31"/>
      </w:r>
      <w:r w:rsidRPr="00575CF1">
        <w:rPr>
          <w:rFonts w:ascii="Times New Roman" w:hAnsi="Times New Roman" w:cs="Times New Roman"/>
          <w:sz w:val="24"/>
          <w:szCs w:val="24"/>
        </w:rPr>
        <w:t xml:space="preserve">, la </w:t>
      </w:r>
      <w:r>
        <w:rPr>
          <w:rFonts w:ascii="Times New Roman" w:hAnsi="Times New Roman" w:cs="Times New Roman"/>
          <w:sz w:val="24"/>
          <w:szCs w:val="24"/>
        </w:rPr>
        <w:t>C</w:t>
      </w:r>
      <w:r w:rsidRPr="00575CF1">
        <w:rPr>
          <w:rFonts w:ascii="Times New Roman" w:hAnsi="Times New Roman" w:cs="Times New Roman"/>
          <w:sz w:val="24"/>
          <w:szCs w:val="24"/>
        </w:rPr>
        <w:t>our de cassation semble aller plus loin en reconnaissant l’existence d</w:t>
      </w:r>
      <w:r>
        <w:rPr>
          <w:rFonts w:ascii="Times New Roman" w:hAnsi="Times New Roman" w:cs="Times New Roman"/>
          <w:sz w:val="24"/>
          <w:szCs w:val="24"/>
        </w:rPr>
        <w:t>e</w:t>
      </w:r>
      <w:r w:rsidRPr="00575CF1">
        <w:rPr>
          <w:rFonts w:ascii="Times New Roman" w:hAnsi="Times New Roman" w:cs="Times New Roman"/>
          <w:sz w:val="24"/>
          <w:szCs w:val="24"/>
        </w:rPr>
        <w:t xml:space="preserve"> principe</w:t>
      </w:r>
      <w:r>
        <w:rPr>
          <w:rFonts w:ascii="Times New Roman" w:hAnsi="Times New Roman" w:cs="Times New Roman"/>
          <w:sz w:val="24"/>
          <w:szCs w:val="24"/>
        </w:rPr>
        <w:t>s</w:t>
      </w:r>
      <w:r w:rsidRPr="00575CF1">
        <w:rPr>
          <w:rFonts w:ascii="Times New Roman" w:hAnsi="Times New Roman" w:cs="Times New Roman"/>
          <w:sz w:val="24"/>
          <w:szCs w:val="24"/>
        </w:rPr>
        <w:t xml:space="preserve"> généra</w:t>
      </w:r>
      <w:r>
        <w:rPr>
          <w:rFonts w:ascii="Times New Roman" w:hAnsi="Times New Roman" w:cs="Times New Roman"/>
          <w:sz w:val="24"/>
          <w:szCs w:val="24"/>
        </w:rPr>
        <w:t xml:space="preserve">ux parmi lesquels la renonciation aux irrégularités procédurales </w:t>
      </w:r>
      <w:r w:rsidRPr="00575CF1">
        <w:rPr>
          <w:rFonts w:ascii="Times New Roman" w:hAnsi="Times New Roman" w:cs="Times New Roman"/>
          <w:sz w:val="24"/>
          <w:szCs w:val="24"/>
        </w:rPr>
        <w:t>qui doi</w:t>
      </w:r>
      <w:r>
        <w:rPr>
          <w:rFonts w:ascii="Times New Roman" w:hAnsi="Times New Roman" w:cs="Times New Roman"/>
          <w:sz w:val="24"/>
          <w:szCs w:val="24"/>
        </w:rPr>
        <w:t>vent</w:t>
      </w:r>
      <w:r w:rsidRPr="00575CF1">
        <w:rPr>
          <w:rFonts w:ascii="Times New Roman" w:hAnsi="Times New Roman" w:cs="Times New Roman"/>
          <w:sz w:val="24"/>
          <w:szCs w:val="24"/>
        </w:rPr>
        <w:t xml:space="preserve"> s’appliquer en droit tunisien de l’arbitrage interne et international. La </w:t>
      </w:r>
      <w:r>
        <w:rPr>
          <w:rFonts w:ascii="Times New Roman" w:hAnsi="Times New Roman" w:cs="Times New Roman"/>
          <w:sz w:val="24"/>
          <w:szCs w:val="24"/>
        </w:rPr>
        <w:t>C</w:t>
      </w:r>
      <w:r w:rsidRPr="00575CF1">
        <w:rPr>
          <w:rFonts w:ascii="Times New Roman" w:hAnsi="Times New Roman" w:cs="Times New Roman"/>
          <w:sz w:val="24"/>
          <w:szCs w:val="24"/>
        </w:rPr>
        <w:t>our affirme ainsi que « </w:t>
      </w:r>
      <w:r w:rsidRPr="0070673B">
        <w:rPr>
          <w:rFonts w:ascii="Times New Roman" w:hAnsi="Times New Roman" w:cs="Times New Roman"/>
          <w:i/>
          <w:iCs/>
          <w:sz w:val="24"/>
          <w:szCs w:val="24"/>
        </w:rPr>
        <w:t xml:space="preserve">les dispositions de cet article [50] </w:t>
      </w:r>
      <w:r w:rsidRPr="0070673B">
        <w:rPr>
          <w:rFonts w:ascii="Times New Roman" w:hAnsi="Times New Roman" w:cs="Times New Roman"/>
          <w:i/>
          <w:iCs/>
          <w:sz w:val="24"/>
          <w:szCs w:val="24"/>
          <w:u w:val="single"/>
        </w:rPr>
        <w:t>sont parmi les principes généraux du droit qui s’appliquent à toutes les affaires d’arbitrage</w:t>
      </w:r>
      <w:r w:rsidRPr="0070673B">
        <w:rPr>
          <w:rFonts w:ascii="Times New Roman" w:hAnsi="Times New Roman" w:cs="Times New Roman"/>
          <w:i/>
          <w:iCs/>
          <w:sz w:val="24"/>
          <w:szCs w:val="24"/>
        </w:rPr>
        <w:t>, qu’il soit interne ou international, étant donné qu’elles se rattachent à la nature même de l’arbitrage en tant que mode privé de règlement des contestations et l’absence de rattachement à l’une ou à l’autre de ses catégories</w:t>
      </w:r>
      <w:r w:rsidRPr="00575CF1">
        <w:rPr>
          <w:rFonts w:ascii="Times New Roman" w:hAnsi="Times New Roman" w:cs="Times New Roman"/>
          <w:sz w:val="24"/>
          <w:szCs w:val="24"/>
        </w:rPr>
        <w:t xml:space="preserve"> ».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796199">
      <w:p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Remarquant après qu’une partie a accepté de continuer la procédure arbitrale en dehors du délai, ce qui s’interprète comme étant une acceptation implicite sans réserve de la prorogation du délai de l’arbitrage, </w:t>
      </w:r>
      <w:r>
        <w:rPr>
          <w:rFonts w:ascii="Times New Roman" w:hAnsi="Times New Roman" w:cs="Times New Roman"/>
          <w:sz w:val="24"/>
          <w:szCs w:val="24"/>
        </w:rPr>
        <w:t>la Cour</w:t>
      </w:r>
      <w:r w:rsidRPr="00575CF1">
        <w:rPr>
          <w:rFonts w:ascii="Times New Roman" w:hAnsi="Times New Roman" w:cs="Times New Roman"/>
          <w:sz w:val="24"/>
          <w:szCs w:val="24"/>
        </w:rPr>
        <w:t xml:space="preserve"> en a déduit qu’</w:t>
      </w:r>
      <w:r>
        <w:rPr>
          <w:rFonts w:ascii="Times New Roman" w:hAnsi="Times New Roman" w:cs="Times New Roman"/>
          <w:sz w:val="24"/>
          <w:szCs w:val="24"/>
        </w:rPr>
        <w:t xml:space="preserve">elle </w:t>
      </w:r>
      <w:r w:rsidRPr="00575CF1">
        <w:rPr>
          <w:rFonts w:ascii="Times New Roman" w:hAnsi="Times New Roman" w:cs="Times New Roman"/>
          <w:sz w:val="24"/>
          <w:szCs w:val="24"/>
        </w:rPr>
        <w:t>est empêché</w:t>
      </w:r>
      <w:r>
        <w:rPr>
          <w:rFonts w:ascii="Times New Roman" w:hAnsi="Times New Roman" w:cs="Times New Roman"/>
          <w:sz w:val="24"/>
          <w:szCs w:val="24"/>
        </w:rPr>
        <w:t>e</w:t>
      </w:r>
      <w:r w:rsidRPr="00575CF1">
        <w:rPr>
          <w:rFonts w:ascii="Times New Roman" w:hAnsi="Times New Roman" w:cs="Times New Roman"/>
          <w:sz w:val="24"/>
          <w:szCs w:val="24"/>
        </w:rPr>
        <w:t xml:space="preserve"> ainsi d’invoquer le dépassement du délai fixé pour le prononcé de la sentence </w:t>
      </w:r>
      <w:r>
        <w:rPr>
          <w:rFonts w:ascii="Times New Roman" w:hAnsi="Times New Roman" w:cs="Times New Roman"/>
          <w:sz w:val="24"/>
          <w:szCs w:val="24"/>
        </w:rPr>
        <w:t>arbitrale</w:t>
      </w:r>
      <w:r w:rsidRPr="00575CF1">
        <w:rPr>
          <w:rStyle w:val="Appelnotedebasdep"/>
          <w:rFonts w:ascii="Times New Roman" w:hAnsi="Times New Roman"/>
          <w:sz w:val="24"/>
          <w:szCs w:val="24"/>
        </w:rPr>
        <w:footnoteReference w:id="32"/>
      </w:r>
      <w:r>
        <w:rPr>
          <w:rFonts w:ascii="Times New Roman" w:hAnsi="Times New Roman" w:cs="Times New Roman"/>
          <w:sz w:val="24"/>
          <w:szCs w:val="24"/>
        </w:rPr>
        <w:t xml:space="preserve">. </w:t>
      </w:r>
      <w:r w:rsidRPr="00575CF1">
        <w:rPr>
          <w:rFonts w:ascii="Times New Roman" w:hAnsi="Times New Roman" w:cs="Times New Roman"/>
          <w:sz w:val="24"/>
          <w:szCs w:val="24"/>
        </w:rPr>
        <w:t xml:space="preserve">La </w:t>
      </w:r>
      <w:r>
        <w:rPr>
          <w:rFonts w:ascii="Times New Roman" w:hAnsi="Times New Roman" w:cs="Times New Roman"/>
          <w:sz w:val="24"/>
          <w:szCs w:val="24"/>
        </w:rPr>
        <w:t>C</w:t>
      </w:r>
      <w:r w:rsidRPr="00575CF1">
        <w:rPr>
          <w:rFonts w:ascii="Times New Roman" w:hAnsi="Times New Roman" w:cs="Times New Roman"/>
          <w:sz w:val="24"/>
          <w:szCs w:val="24"/>
        </w:rPr>
        <w:t>our admet l’existence de principe généraux de droit s’appliquant à l’arbitrage non prévu par le</w:t>
      </w:r>
      <w:r>
        <w:rPr>
          <w:rFonts w:ascii="Times New Roman" w:hAnsi="Times New Roman" w:cs="Times New Roman"/>
          <w:sz w:val="24"/>
          <w:szCs w:val="24"/>
        </w:rPr>
        <w:t>s</w:t>
      </w:r>
      <w:r w:rsidRPr="00575CF1">
        <w:rPr>
          <w:rFonts w:ascii="Times New Roman" w:hAnsi="Times New Roman" w:cs="Times New Roman"/>
          <w:sz w:val="24"/>
          <w:szCs w:val="24"/>
        </w:rPr>
        <w:t xml:space="preserve"> texte</w:t>
      </w:r>
      <w:r>
        <w:rPr>
          <w:rFonts w:ascii="Times New Roman" w:hAnsi="Times New Roman" w:cs="Times New Roman"/>
          <w:sz w:val="24"/>
          <w:szCs w:val="24"/>
        </w:rPr>
        <w:t>s</w:t>
      </w:r>
      <w:r w:rsidRPr="00575CF1">
        <w:rPr>
          <w:rFonts w:ascii="Times New Roman" w:hAnsi="Times New Roman" w:cs="Times New Roman"/>
          <w:sz w:val="24"/>
          <w:szCs w:val="24"/>
        </w:rPr>
        <w:t xml:space="preserve">. </w:t>
      </w:r>
      <w:r>
        <w:rPr>
          <w:rFonts w:ascii="Times New Roman" w:hAnsi="Times New Roman" w:cs="Times New Roman"/>
          <w:sz w:val="24"/>
          <w:szCs w:val="24"/>
        </w:rPr>
        <w:t>I</w:t>
      </w:r>
      <w:r w:rsidRPr="00575CF1">
        <w:rPr>
          <w:rFonts w:ascii="Times New Roman" w:hAnsi="Times New Roman" w:cs="Times New Roman"/>
          <w:sz w:val="24"/>
          <w:szCs w:val="24"/>
        </w:rPr>
        <w:t xml:space="preserve">l </w:t>
      </w:r>
      <w:r w:rsidRPr="00575CF1">
        <w:rPr>
          <w:rFonts w:ascii="Times New Roman" w:hAnsi="Times New Roman" w:cs="Times New Roman"/>
          <w:sz w:val="24"/>
          <w:szCs w:val="24"/>
        </w:rPr>
        <w:lastRenderedPageBreak/>
        <w:t>est possible d’affirmer que le principe de la bonne foi et le principe de l’</w:t>
      </w:r>
      <w:r w:rsidRPr="00017EAB">
        <w:rPr>
          <w:rFonts w:ascii="Times New Roman" w:hAnsi="Times New Roman" w:cs="Times New Roman"/>
          <w:i/>
          <w:iCs/>
          <w:sz w:val="24"/>
          <w:szCs w:val="24"/>
        </w:rPr>
        <w:t>estoppel</w:t>
      </w:r>
      <w:r w:rsidRPr="00575CF1">
        <w:rPr>
          <w:rFonts w:ascii="Times New Roman" w:hAnsi="Times New Roman" w:cs="Times New Roman"/>
          <w:sz w:val="24"/>
          <w:szCs w:val="24"/>
        </w:rPr>
        <w:t xml:space="preserve"> </w:t>
      </w:r>
      <w:r>
        <w:rPr>
          <w:rFonts w:ascii="Times New Roman" w:hAnsi="Times New Roman" w:cs="Times New Roman"/>
          <w:sz w:val="24"/>
          <w:szCs w:val="24"/>
        </w:rPr>
        <w:t xml:space="preserve">comme le principe de renonciation aux irrégularités procédurales non invoquées sont des </w:t>
      </w:r>
      <w:r w:rsidRPr="00575CF1">
        <w:rPr>
          <w:rFonts w:ascii="Times New Roman" w:hAnsi="Times New Roman" w:cs="Times New Roman"/>
          <w:sz w:val="24"/>
          <w:szCs w:val="24"/>
        </w:rPr>
        <w:t>principe</w:t>
      </w:r>
      <w:r>
        <w:rPr>
          <w:rFonts w:ascii="Times New Roman" w:hAnsi="Times New Roman" w:cs="Times New Roman"/>
          <w:sz w:val="24"/>
          <w:szCs w:val="24"/>
        </w:rPr>
        <w:t>s généraux</w:t>
      </w:r>
      <w:r w:rsidRPr="00575CF1">
        <w:rPr>
          <w:rFonts w:ascii="Times New Roman" w:hAnsi="Times New Roman" w:cs="Times New Roman"/>
          <w:sz w:val="24"/>
          <w:szCs w:val="24"/>
        </w:rPr>
        <w:t xml:space="preserve"> du droit de l’arbitrage en Tunisie.</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sidRPr="00AA07BB">
        <w:rPr>
          <w:rFonts w:ascii="Times New Roman" w:hAnsi="Times New Roman" w:cs="Times New Roman"/>
          <w:sz w:val="24"/>
          <w:szCs w:val="24"/>
        </w:rPr>
        <w:t>Connu aussi sous le nom de l’interdiction de se contredire au détriment d’autrui (</w:t>
      </w:r>
      <w:r w:rsidRPr="00AA07BB">
        <w:rPr>
          <w:rFonts w:ascii="Times New Roman" w:hAnsi="Times New Roman" w:cs="Times New Roman"/>
          <w:i/>
          <w:iCs/>
          <w:sz w:val="24"/>
          <w:szCs w:val="24"/>
        </w:rPr>
        <w:t>non</w:t>
      </w:r>
      <w:r w:rsidRPr="00AA07BB">
        <w:rPr>
          <w:rFonts w:ascii="Times New Roman" w:hAnsi="Times New Roman" w:cs="Times New Roman"/>
          <w:sz w:val="24"/>
          <w:szCs w:val="24"/>
        </w:rPr>
        <w:t xml:space="preserve"> </w:t>
      </w:r>
      <w:proofErr w:type="spellStart"/>
      <w:r w:rsidRPr="00AA07BB">
        <w:rPr>
          <w:rFonts w:ascii="Times New Roman" w:hAnsi="Times New Roman" w:cs="Times New Roman"/>
          <w:i/>
          <w:iCs/>
          <w:sz w:val="24"/>
          <w:szCs w:val="24"/>
        </w:rPr>
        <w:t>concedit</w:t>
      </w:r>
      <w:proofErr w:type="spellEnd"/>
      <w:r w:rsidRPr="00AA07BB">
        <w:rPr>
          <w:rFonts w:ascii="Times New Roman" w:hAnsi="Times New Roman" w:cs="Times New Roman"/>
          <w:i/>
          <w:iCs/>
          <w:sz w:val="24"/>
          <w:szCs w:val="24"/>
        </w:rPr>
        <w:t xml:space="preserve"> </w:t>
      </w:r>
      <w:proofErr w:type="spellStart"/>
      <w:r w:rsidRPr="00AA07BB">
        <w:rPr>
          <w:rFonts w:ascii="Times New Roman" w:hAnsi="Times New Roman" w:cs="Times New Roman"/>
          <w:i/>
          <w:iCs/>
          <w:sz w:val="24"/>
          <w:szCs w:val="24"/>
        </w:rPr>
        <w:t>venire</w:t>
      </w:r>
      <w:proofErr w:type="spellEnd"/>
      <w:r w:rsidRPr="00AA07BB">
        <w:rPr>
          <w:rFonts w:ascii="Times New Roman" w:hAnsi="Times New Roman" w:cs="Times New Roman"/>
          <w:i/>
          <w:iCs/>
          <w:sz w:val="24"/>
          <w:szCs w:val="24"/>
        </w:rPr>
        <w:t xml:space="preserve"> contra factum </w:t>
      </w:r>
      <w:proofErr w:type="spellStart"/>
      <w:r w:rsidRPr="00AA07BB">
        <w:rPr>
          <w:rFonts w:ascii="Times New Roman" w:hAnsi="Times New Roman" w:cs="Times New Roman"/>
          <w:i/>
          <w:iCs/>
          <w:sz w:val="24"/>
          <w:szCs w:val="24"/>
        </w:rPr>
        <w:t>proprium</w:t>
      </w:r>
      <w:proofErr w:type="spellEnd"/>
      <w:r w:rsidRPr="00AA07BB">
        <w:rPr>
          <w:rFonts w:ascii="Times New Roman" w:hAnsi="Times New Roman" w:cs="Times New Roman"/>
          <w:sz w:val="24"/>
          <w:szCs w:val="24"/>
        </w:rPr>
        <w:t>), le principe l’</w:t>
      </w:r>
      <w:r w:rsidRPr="00AA07BB">
        <w:rPr>
          <w:rFonts w:ascii="Times New Roman" w:hAnsi="Times New Roman" w:cs="Times New Roman"/>
          <w:i/>
          <w:sz w:val="24"/>
          <w:szCs w:val="24"/>
        </w:rPr>
        <w:t>estoppel</w:t>
      </w:r>
      <w:r w:rsidRPr="00AA07BB">
        <w:rPr>
          <w:rFonts w:ascii="Times New Roman" w:hAnsi="Times New Roman" w:cs="Times New Roman"/>
          <w:sz w:val="24"/>
          <w:szCs w:val="24"/>
        </w:rPr>
        <w:t xml:space="preserve"> est d’origine anglaise. Il a été conçu pour interdire à l’une des parties de se prévaloir de ses propres contradictions au détriment d’autrui. L’application de ce principe requiert, d’une manière générale, trois éléments : (i) un propos ou une conduite primaire de A, (ii) ce propos ou cette conduite a conduit B à croire en l’existence d’un certain état de fait et à agir sous l’influence de cette croyance, (iii) A n’est pas admis à revenir sur son propos ou sa conduite initiale si cette contradiction porte préjudice à B</w:t>
      </w:r>
      <w:r w:rsidRPr="00AA07BB">
        <w:rPr>
          <w:rStyle w:val="Appelnotedebasdep"/>
          <w:rFonts w:ascii="Times New Roman" w:hAnsi="Times New Roman"/>
          <w:sz w:val="24"/>
          <w:szCs w:val="24"/>
        </w:rPr>
        <w:footnoteReference w:id="33"/>
      </w:r>
      <w:r w:rsidRPr="00AA07BB">
        <w:rPr>
          <w:rFonts w:ascii="Times New Roman" w:hAnsi="Times New Roman" w:cs="Times New Roman"/>
          <w:sz w:val="24"/>
          <w:szCs w:val="24"/>
        </w:rPr>
        <w:t>.</w:t>
      </w:r>
    </w:p>
    <w:p w:rsidR="005273ED" w:rsidRPr="00AA07BB" w:rsidRDefault="005273ED" w:rsidP="00B2134D">
      <w:pPr>
        <w:spacing w:after="0" w:line="240" w:lineRule="auto"/>
        <w:jc w:val="both"/>
        <w:rPr>
          <w:rFonts w:ascii="Times New Roman" w:hAnsi="Times New Roman" w:cs="Times New Roman"/>
          <w:sz w:val="24"/>
          <w:szCs w:val="24"/>
        </w:rPr>
      </w:pPr>
    </w:p>
    <w:p w:rsidR="005273ED" w:rsidRPr="00B2134D" w:rsidRDefault="005273ED" w:rsidP="00B2134D">
      <w:pPr>
        <w:numPr>
          <w:ilvl w:val="0"/>
          <w:numId w:val="8"/>
        </w:numPr>
        <w:spacing w:after="0" w:line="240" w:lineRule="auto"/>
        <w:jc w:val="both"/>
        <w:rPr>
          <w:rFonts w:ascii="Times New Roman" w:hAnsi="Times New Roman" w:cs="Times New Roman"/>
          <w:sz w:val="24"/>
          <w:szCs w:val="24"/>
        </w:rPr>
      </w:pPr>
      <w:r w:rsidRPr="00AA07BB">
        <w:rPr>
          <w:rFonts w:ascii="Times New Roman" w:hAnsi="Times New Roman" w:cs="Times New Roman"/>
          <w:sz w:val="24"/>
          <w:szCs w:val="24"/>
        </w:rPr>
        <w:t xml:space="preserve">L’analyse de la jurisprudence française révèle </w:t>
      </w:r>
      <w:r>
        <w:rPr>
          <w:rFonts w:ascii="Times New Roman" w:hAnsi="Times New Roman" w:cs="Times New Roman"/>
          <w:sz w:val="24"/>
          <w:szCs w:val="24"/>
        </w:rPr>
        <w:t xml:space="preserve">cependant </w:t>
      </w:r>
      <w:r w:rsidRPr="00AA07BB">
        <w:rPr>
          <w:rFonts w:ascii="Times New Roman" w:hAnsi="Times New Roman" w:cs="Times New Roman"/>
          <w:sz w:val="24"/>
          <w:szCs w:val="24"/>
        </w:rPr>
        <w:t>que l’</w:t>
      </w:r>
      <w:r w:rsidRPr="00AA07BB">
        <w:rPr>
          <w:rFonts w:ascii="Times New Roman" w:hAnsi="Times New Roman" w:cs="Times New Roman"/>
          <w:i/>
          <w:iCs/>
          <w:sz w:val="24"/>
          <w:szCs w:val="24"/>
        </w:rPr>
        <w:t>estoppel</w:t>
      </w:r>
      <w:r w:rsidRPr="00AA07BB">
        <w:rPr>
          <w:rFonts w:ascii="Times New Roman" w:hAnsi="Times New Roman" w:cs="Times New Roman"/>
          <w:sz w:val="24"/>
          <w:szCs w:val="24"/>
        </w:rPr>
        <w:t xml:space="preserve"> et la renonciation aux irrégularités de procédures non invoquées sont deux mécanismes différents même s’ils peuvent se recouper. L’</w:t>
      </w:r>
      <w:r w:rsidRPr="00AA07BB">
        <w:rPr>
          <w:rFonts w:ascii="Times New Roman" w:hAnsi="Times New Roman" w:cs="Times New Roman"/>
          <w:i/>
          <w:iCs/>
          <w:sz w:val="24"/>
          <w:szCs w:val="24"/>
        </w:rPr>
        <w:t>estoppel</w:t>
      </w:r>
      <w:r w:rsidRPr="00AA07BB">
        <w:rPr>
          <w:rFonts w:ascii="Times New Roman" w:hAnsi="Times New Roman" w:cs="Times New Roman"/>
          <w:sz w:val="24"/>
          <w:szCs w:val="24"/>
        </w:rPr>
        <w:t xml:space="preserve"> tend à protéger la confiance légitime de l’une des parties. Il vise à sanctionner une partie qui, par son comportement contradictoire, a trompé la confiance légitime de son adversaire. En revanche, la renonciation </w:t>
      </w:r>
      <w:r>
        <w:rPr>
          <w:rStyle w:val="Accentuation"/>
          <w:rFonts w:ascii="Times New Roman" w:hAnsi="Times New Roman"/>
          <w:sz w:val="24"/>
          <w:szCs w:val="24"/>
        </w:rPr>
        <w:t>«</w:t>
      </w:r>
      <w:r w:rsidRPr="00AA07BB">
        <w:rPr>
          <w:rStyle w:val="Accentuation"/>
          <w:rFonts w:ascii="Times New Roman" w:hAnsi="Times New Roman"/>
          <w:sz w:val="24"/>
          <w:szCs w:val="24"/>
        </w:rPr>
        <w:t>sanctionne un comportement unilatéral d’une partie sans préoccupation de la prise en considération par l’autre partie de ce comportement »</w:t>
      </w:r>
      <w:r w:rsidRPr="00AA07BB">
        <w:rPr>
          <w:rStyle w:val="Appelnotedebasdep"/>
          <w:rFonts w:ascii="Times New Roman" w:hAnsi="Times New Roman"/>
          <w:sz w:val="24"/>
          <w:szCs w:val="24"/>
        </w:rPr>
        <w:t xml:space="preserve"> </w:t>
      </w:r>
      <w:r>
        <w:rPr>
          <w:rStyle w:val="Appelnotedebasdep"/>
          <w:rFonts w:ascii="Times New Roman" w:hAnsi="Times New Roman"/>
          <w:sz w:val="24"/>
          <w:szCs w:val="24"/>
        </w:rPr>
        <w:footnoteReference w:id="34"/>
      </w:r>
      <w:r>
        <w:rPr>
          <w:rFonts w:ascii="Times New Roman" w:hAnsi="Times New Roman"/>
          <w:sz w:val="24"/>
          <w:szCs w:val="24"/>
        </w:rPr>
        <w:t>.</w:t>
      </w:r>
    </w:p>
    <w:p w:rsidR="005273ED" w:rsidRPr="00AA07BB" w:rsidRDefault="005273ED" w:rsidP="00B2134D">
      <w:pPr>
        <w:spacing w:after="0" w:line="240" w:lineRule="auto"/>
        <w:jc w:val="both"/>
        <w:rPr>
          <w:rFonts w:ascii="Times New Roman" w:hAnsi="Times New Roman" w:cs="Times New Roman"/>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L’existence de principe généraux de droit lié à la bonne foi et à la loyauté découle aussi de la lecture d’une ordonnance rendue, le 20 décembre 2009 (affaire n°7461) par le Président de la Cour d’appel de Tunis dans l’affaire </w:t>
      </w:r>
      <w:proofErr w:type="spellStart"/>
      <w:r w:rsidRPr="00017EAB">
        <w:rPr>
          <w:rFonts w:ascii="Times New Roman" w:hAnsi="Times New Roman" w:cs="Times New Roman"/>
          <w:i/>
          <w:iCs/>
          <w:sz w:val="24"/>
          <w:szCs w:val="24"/>
        </w:rPr>
        <w:t>Ferrovial</w:t>
      </w:r>
      <w:proofErr w:type="spellEnd"/>
      <w:r>
        <w:rPr>
          <w:rFonts w:ascii="Times New Roman" w:hAnsi="Times New Roman" w:cs="Times New Roman"/>
          <w:sz w:val="24"/>
          <w:szCs w:val="24"/>
        </w:rPr>
        <w:t>. Le Président a invoqué le principe de loyauté et d’honnêteté pour justifier le rejet d’une demande de désignation d’un arbitre pour statuer sur un litige faisant l’objet d’une procédure arbitrale parallèle en cours. Le Président a affirmé, sans se référer à l’article 50 du code de l’arbitrage d’ailleurs, « </w:t>
      </w:r>
      <w:r w:rsidRPr="00017EAB">
        <w:rPr>
          <w:rFonts w:ascii="Times New Roman" w:hAnsi="Times New Roman" w:cs="Times New Roman"/>
          <w:i/>
          <w:iCs/>
          <w:sz w:val="24"/>
          <w:szCs w:val="24"/>
          <w:u w:val="single"/>
        </w:rPr>
        <w:t>attendu que l’arbitrage, notamment international, repose sur les principes de l’honnêteté, de loyauté et d’abstention d’empêcher la pleine jouissance par l’autre partie de ses droits</w:t>
      </w:r>
      <w:r w:rsidRPr="00C150F8">
        <w:rPr>
          <w:rFonts w:ascii="Times New Roman" w:hAnsi="Times New Roman" w:cs="Times New Roman"/>
          <w:i/>
          <w:iCs/>
          <w:sz w:val="24"/>
          <w:szCs w:val="24"/>
        </w:rPr>
        <w:t> ; attendu que la demande actuelle tend à la constitution d’un tribunal arbitral parallèle afin de statuer sur certaines branches déjà soumises au premier tribunal arbitral, ce qui aboutit inévitablement, soit au dédoublement des sentences, soit à leur contradiction, et que dans les deux cas, cela entrainera indubitablement un désordre dans les situations des parties et de leurs droits et posera des difficultés lors de l’exécution des sentences. Qu’il échoit afin d’éviter ces difficultés de rejeter la demande de désignation d’arbitre </w:t>
      </w:r>
      <w:r>
        <w:rPr>
          <w:rFonts w:ascii="Times New Roman" w:hAnsi="Times New Roman" w:cs="Times New Roman"/>
          <w:sz w:val="24"/>
          <w:szCs w:val="24"/>
        </w:rPr>
        <w:t>»</w:t>
      </w:r>
      <w:r>
        <w:rPr>
          <w:rStyle w:val="Appelnotedebasdep"/>
          <w:rFonts w:ascii="Times New Roman" w:hAnsi="Times New Roman"/>
          <w:sz w:val="24"/>
          <w:szCs w:val="24"/>
        </w:rPr>
        <w:footnoteReference w:id="35"/>
      </w:r>
      <w:r>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sidRPr="0045468D">
        <w:rPr>
          <w:rFonts w:ascii="Times New Roman" w:hAnsi="Times New Roman" w:cs="Times New Roman"/>
          <w:sz w:val="24"/>
          <w:szCs w:val="24"/>
        </w:rPr>
        <w:t>Le principe de l’</w:t>
      </w:r>
      <w:r w:rsidRPr="0045468D">
        <w:rPr>
          <w:rFonts w:ascii="Times New Roman" w:hAnsi="Times New Roman" w:cs="Times New Roman"/>
          <w:i/>
          <w:iCs/>
          <w:sz w:val="24"/>
          <w:szCs w:val="24"/>
        </w:rPr>
        <w:t>estoppel</w:t>
      </w:r>
      <w:r w:rsidRPr="0045468D">
        <w:rPr>
          <w:rFonts w:ascii="Times New Roman" w:hAnsi="Times New Roman" w:cs="Times New Roman"/>
          <w:sz w:val="24"/>
          <w:szCs w:val="24"/>
        </w:rPr>
        <w:t xml:space="preserve"> comme le principe de renonciation aux irrégularités de procédure non invoquées et la loyauté se rattachent à l’exigence générale de la bonne foi qui domine le droit des obligations tunisien</w:t>
      </w:r>
      <w:r w:rsidRPr="00575CF1">
        <w:rPr>
          <w:rFonts w:ascii="Times New Roman" w:hAnsi="Times New Roman" w:cs="Times New Roman"/>
          <w:sz w:val="24"/>
          <w:szCs w:val="24"/>
        </w:rPr>
        <w:t xml:space="preserve">. </w:t>
      </w:r>
      <w:r w:rsidRPr="00575CF1">
        <w:rPr>
          <w:rFonts w:ascii="Times New Roman" w:hAnsi="Times New Roman" w:cs="Times New Roman"/>
          <w:bCs/>
          <w:sz w:val="24"/>
          <w:szCs w:val="24"/>
        </w:rPr>
        <w:t>L’article 243 du C</w:t>
      </w:r>
      <w:r>
        <w:rPr>
          <w:rFonts w:ascii="Times New Roman" w:hAnsi="Times New Roman" w:cs="Times New Roman"/>
          <w:bCs/>
          <w:sz w:val="24"/>
          <w:szCs w:val="24"/>
        </w:rPr>
        <w:t xml:space="preserve">ode tunisien des obligations et des contrats </w:t>
      </w:r>
      <w:r w:rsidRPr="00575CF1">
        <w:rPr>
          <w:rFonts w:ascii="Times New Roman" w:hAnsi="Times New Roman" w:cs="Times New Roman"/>
          <w:bCs/>
          <w:sz w:val="24"/>
          <w:szCs w:val="24"/>
        </w:rPr>
        <w:t>prévoit que</w:t>
      </w:r>
      <w:r w:rsidRPr="00575CF1">
        <w:rPr>
          <w:rFonts w:ascii="Times New Roman" w:hAnsi="Times New Roman" w:cs="Times New Roman"/>
          <w:b/>
          <w:bCs/>
          <w:sz w:val="24"/>
          <w:szCs w:val="24"/>
        </w:rPr>
        <w:t xml:space="preserve"> « </w:t>
      </w:r>
      <w:r w:rsidRPr="00575CF1">
        <w:rPr>
          <w:rFonts w:ascii="Times New Roman" w:hAnsi="Times New Roman" w:cs="Times New Roman"/>
          <w:i/>
          <w:sz w:val="24"/>
          <w:szCs w:val="24"/>
        </w:rPr>
        <w:t>Tout engagement doit être exécuté de bonne foi, et oblige, non seulement à ce qui y est exprimé, mais encore à toutes les suites que la loi, l'usage ou l'équité donnent à l'obligation d'après sa nature</w:t>
      </w:r>
      <w:r w:rsidRPr="00575CF1">
        <w:rPr>
          <w:rFonts w:ascii="Times New Roman" w:hAnsi="Times New Roman" w:cs="Times New Roman"/>
          <w:sz w:val="24"/>
          <w:szCs w:val="24"/>
        </w:rPr>
        <w:t xml:space="preserve"> ». La Cour de Cassation a étendu le domaine de ce </w:t>
      </w:r>
      <w:r w:rsidRPr="00575CF1">
        <w:rPr>
          <w:rFonts w:ascii="Times New Roman" w:hAnsi="Times New Roman" w:cs="Times New Roman"/>
          <w:sz w:val="24"/>
          <w:szCs w:val="24"/>
        </w:rPr>
        <w:lastRenderedPageBreak/>
        <w:t>principe à la formation des contrats. Elle rappelle ainsi que « </w:t>
      </w:r>
      <w:r w:rsidRPr="0070673B">
        <w:rPr>
          <w:rFonts w:ascii="Times New Roman" w:hAnsi="Times New Roman" w:cs="Times New Roman"/>
          <w:i/>
          <w:iCs/>
          <w:sz w:val="24"/>
          <w:szCs w:val="24"/>
        </w:rPr>
        <w:t xml:space="preserve">le législateur tunisien reconnait le principe de bonne foi dans la </w:t>
      </w:r>
      <w:r w:rsidRPr="0070673B">
        <w:rPr>
          <w:rFonts w:ascii="Times New Roman" w:hAnsi="Times New Roman" w:cs="Times New Roman"/>
          <w:i/>
          <w:iCs/>
          <w:sz w:val="24"/>
          <w:szCs w:val="24"/>
          <w:u w:val="single"/>
        </w:rPr>
        <w:t xml:space="preserve">formation </w:t>
      </w:r>
      <w:r w:rsidRPr="0070673B">
        <w:rPr>
          <w:rFonts w:ascii="Times New Roman" w:hAnsi="Times New Roman" w:cs="Times New Roman"/>
          <w:i/>
          <w:iCs/>
          <w:sz w:val="24"/>
          <w:szCs w:val="24"/>
        </w:rPr>
        <w:t>et l’exécution des contrats</w:t>
      </w:r>
      <w:r w:rsidRPr="00575CF1">
        <w:rPr>
          <w:rFonts w:ascii="Times New Roman" w:hAnsi="Times New Roman" w:cs="Times New Roman"/>
          <w:sz w:val="24"/>
          <w:szCs w:val="24"/>
        </w:rPr>
        <w:t> »</w:t>
      </w:r>
      <w:r w:rsidRPr="00575CF1">
        <w:rPr>
          <w:rStyle w:val="Appelnotedebasdep"/>
          <w:rFonts w:ascii="Times New Roman" w:hAnsi="Times New Roman"/>
          <w:sz w:val="24"/>
          <w:szCs w:val="24"/>
        </w:rPr>
        <w:footnoteReference w:id="36"/>
      </w:r>
      <w:r w:rsidRPr="00575CF1">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796199">
      <w:pPr>
        <w:spacing w:after="0" w:line="240" w:lineRule="auto"/>
        <w:jc w:val="both"/>
        <w:rPr>
          <w:rFonts w:ascii="Times New Roman" w:hAnsi="Times New Roman" w:cs="Times New Roman"/>
          <w:sz w:val="24"/>
          <w:szCs w:val="24"/>
        </w:rPr>
      </w:pPr>
      <w:r w:rsidRPr="002C0DB8">
        <w:rPr>
          <w:rFonts w:ascii="Times New Roman" w:hAnsi="Times New Roman" w:cs="Times New Roman"/>
          <w:sz w:val="24"/>
          <w:szCs w:val="24"/>
        </w:rPr>
        <w:t xml:space="preserve">Il y a donc une faveur accordée en droit tunisien à la bonne foi </w:t>
      </w:r>
      <w:r>
        <w:rPr>
          <w:rFonts w:ascii="Times New Roman" w:hAnsi="Times New Roman" w:cs="Times New Roman"/>
          <w:sz w:val="24"/>
          <w:szCs w:val="24"/>
        </w:rPr>
        <w:t>en</w:t>
      </w:r>
      <w:r w:rsidRPr="002C0DB8">
        <w:rPr>
          <w:rFonts w:ascii="Times New Roman" w:hAnsi="Times New Roman" w:cs="Times New Roman"/>
          <w:sz w:val="24"/>
          <w:szCs w:val="24"/>
        </w:rPr>
        <w:t xml:space="preserve"> matière d’arbitrage et en matière contractuelle, ce qui est complémentaire. On remarque d’ailleurs que le principe de l’interdiction se contredire au détriment d’autrui est consacré même avant l’entrée en vigueur du code d’arbitrage</w:t>
      </w:r>
      <w:r w:rsidRPr="002C0DB8">
        <w:rPr>
          <w:rStyle w:val="Appelnotedebasdep"/>
          <w:rFonts w:ascii="Times New Roman" w:hAnsi="Times New Roman"/>
          <w:sz w:val="24"/>
          <w:szCs w:val="24"/>
        </w:rPr>
        <w:footnoteReference w:id="37"/>
      </w:r>
      <w:r w:rsidRPr="002C0DB8">
        <w:rPr>
          <w:rFonts w:ascii="Times New Roman" w:hAnsi="Times New Roman" w:cs="Times New Roman"/>
          <w:sz w:val="24"/>
          <w:szCs w:val="24"/>
        </w:rPr>
        <w:t xml:space="preserve">.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Mais le droit jurisprudentiel de l’arbitrage connait aussi et malheureusement une contre-révolution. </w:t>
      </w:r>
    </w:p>
    <w:p w:rsidR="005273ED" w:rsidRDefault="005273ED" w:rsidP="00B2134D">
      <w:pPr>
        <w:spacing w:after="0" w:line="240" w:lineRule="auto"/>
        <w:jc w:val="both"/>
        <w:rPr>
          <w:rFonts w:ascii="Times New Roman" w:hAnsi="Times New Roman" w:cs="Times New Roman"/>
          <w:sz w:val="24"/>
          <w:szCs w:val="24"/>
        </w:rPr>
      </w:pPr>
    </w:p>
    <w:p w:rsidR="005273ED" w:rsidRPr="00575CF1" w:rsidRDefault="005273ED" w:rsidP="00B2134D">
      <w:pPr>
        <w:pStyle w:val="Paragraphedeliste"/>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575CF1">
        <w:rPr>
          <w:rFonts w:ascii="Times New Roman" w:hAnsi="Times New Roman" w:cs="Times New Roman"/>
          <w:b/>
          <w:bCs/>
          <w:sz w:val="24"/>
          <w:szCs w:val="24"/>
        </w:rPr>
        <w:t>Une contre-révolution : l’</w:t>
      </w:r>
      <w:proofErr w:type="spellStart"/>
      <w:r w:rsidRPr="00575CF1">
        <w:rPr>
          <w:rFonts w:ascii="Times New Roman" w:hAnsi="Times New Roman" w:cs="Times New Roman"/>
          <w:b/>
          <w:bCs/>
          <w:sz w:val="24"/>
          <w:szCs w:val="24"/>
        </w:rPr>
        <w:t>inarbitrabilité</w:t>
      </w:r>
      <w:proofErr w:type="spellEnd"/>
      <w:r w:rsidRPr="00575CF1">
        <w:rPr>
          <w:rFonts w:ascii="Times New Roman" w:hAnsi="Times New Roman" w:cs="Times New Roman"/>
          <w:b/>
          <w:bCs/>
          <w:sz w:val="24"/>
          <w:szCs w:val="24"/>
        </w:rPr>
        <w:t xml:space="preserve"> récente des contrats conclus avec l’Etat</w:t>
      </w:r>
    </w:p>
    <w:p w:rsidR="005273ED" w:rsidRDefault="005273ED" w:rsidP="00B2134D">
      <w:pPr>
        <w:spacing w:after="0" w:line="240" w:lineRule="auto"/>
        <w:jc w:val="both"/>
        <w:rPr>
          <w:rFonts w:ascii="Times New Roman" w:hAnsi="Times New Roman" w:cs="Times New Roman"/>
          <w:sz w:val="24"/>
          <w:szCs w:val="24"/>
        </w:rPr>
      </w:pPr>
    </w:p>
    <w:p w:rsidR="005273ED" w:rsidRPr="00575CF1" w:rsidRDefault="005273ED" w:rsidP="00B2134D">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L’article 7 du code tunisien de l’arbitrage dispose que</w:t>
      </w:r>
      <w:r>
        <w:rPr>
          <w:rFonts w:ascii="Times New Roman" w:hAnsi="Times New Roman" w:cs="Times New Roman"/>
          <w:sz w:val="24"/>
          <w:szCs w:val="24"/>
        </w:rPr>
        <w:t xml:space="preserve"> </w:t>
      </w:r>
      <w:r w:rsidRPr="00575CF1">
        <w:rPr>
          <w:rFonts w:ascii="Times New Roman" w:hAnsi="Times New Roman" w:cs="Times New Roman"/>
          <w:sz w:val="24"/>
          <w:szCs w:val="24"/>
        </w:rPr>
        <w:t xml:space="preserve">: «  </w:t>
      </w:r>
      <w:r w:rsidRPr="00575CF1">
        <w:rPr>
          <w:rFonts w:ascii="Times New Roman" w:hAnsi="Times New Roman" w:cs="Times New Roman"/>
          <w:i/>
          <w:iCs/>
          <w:sz w:val="24"/>
          <w:szCs w:val="24"/>
        </w:rPr>
        <w:t>On ne peut compromettre :</w:t>
      </w:r>
    </w:p>
    <w:p w:rsidR="005273ED" w:rsidRPr="00575CF1" w:rsidRDefault="005273ED" w:rsidP="00B2134D">
      <w:pPr>
        <w:spacing w:after="0" w:line="240" w:lineRule="auto"/>
        <w:jc w:val="both"/>
        <w:rPr>
          <w:rFonts w:ascii="Times New Roman" w:hAnsi="Times New Roman" w:cs="Times New Roman"/>
          <w:i/>
          <w:iCs/>
          <w:sz w:val="24"/>
          <w:szCs w:val="24"/>
        </w:rPr>
      </w:pPr>
      <w:r w:rsidRPr="00575CF1">
        <w:rPr>
          <w:rFonts w:ascii="Times New Roman" w:hAnsi="Times New Roman" w:cs="Times New Roman"/>
          <w:i/>
          <w:iCs/>
          <w:sz w:val="24"/>
          <w:szCs w:val="24"/>
        </w:rPr>
        <w:t xml:space="preserve"> </w:t>
      </w:r>
      <w:proofErr w:type="gramStart"/>
      <w:r w:rsidRPr="00575CF1">
        <w:rPr>
          <w:rFonts w:ascii="Times New Roman" w:hAnsi="Times New Roman" w:cs="Times New Roman"/>
          <w:i/>
          <w:iCs/>
          <w:sz w:val="24"/>
          <w:szCs w:val="24"/>
        </w:rPr>
        <w:t>dans</w:t>
      </w:r>
      <w:proofErr w:type="gramEnd"/>
      <w:r w:rsidRPr="00575CF1">
        <w:rPr>
          <w:rFonts w:ascii="Times New Roman" w:hAnsi="Times New Roman" w:cs="Times New Roman"/>
          <w:i/>
          <w:iCs/>
          <w:sz w:val="24"/>
          <w:szCs w:val="24"/>
        </w:rPr>
        <w:t xml:space="preserve"> les matières touchant à l’ordre public ;</w:t>
      </w:r>
    </w:p>
    <w:p w:rsidR="005273ED" w:rsidRPr="00575CF1" w:rsidRDefault="005273ED" w:rsidP="00B2134D">
      <w:pPr>
        <w:spacing w:after="0" w:line="240" w:lineRule="auto"/>
        <w:jc w:val="both"/>
        <w:rPr>
          <w:rFonts w:ascii="Times New Roman" w:hAnsi="Times New Roman" w:cs="Times New Roman"/>
          <w:i/>
          <w:iCs/>
          <w:sz w:val="24"/>
          <w:szCs w:val="24"/>
        </w:rPr>
      </w:pPr>
      <w:r w:rsidRPr="00575CF1">
        <w:rPr>
          <w:rFonts w:ascii="Times New Roman" w:hAnsi="Times New Roman" w:cs="Times New Roman"/>
          <w:i/>
          <w:iCs/>
          <w:sz w:val="24"/>
          <w:szCs w:val="24"/>
        </w:rPr>
        <w:t xml:space="preserve"> </w:t>
      </w:r>
      <w:proofErr w:type="gramStart"/>
      <w:r w:rsidRPr="00575CF1">
        <w:rPr>
          <w:rFonts w:ascii="Times New Roman" w:hAnsi="Times New Roman" w:cs="Times New Roman"/>
          <w:i/>
          <w:iCs/>
          <w:sz w:val="24"/>
          <w:szCs w:val="24"/>
        </w:rPr>
        <w:t>dans</w:t>
      </w:r>
      <w:proofErr w:type="gramEnd"/>
      <w:r w:rsidRPr="00575CF1">
        <w:rPr>
          <w:rFonts w:ascii="Times New Roman" w:hAnsi="Times New Roman" w:cs="Times New Roman"/>
          <w:i/>
          <w:iCs/>
          <w:sz w:val="24"/>
          <w:szCs w:val="24"/>
        </w:rPr>
        <w:t xml:space="preserve"> les contestations relatives à la nationalité ;</w:t>
      </w:r>
    </w:p>
    <w:p w:rsidR="005273ED" w:rsidRPr="00575CF1" w:rsidRDefault="005273ED" w:rsidP="00B2134D">
      <w:pPr>
        <w:spacing w:after="0" w:line="240" w:lineRule="auto"/>
        <w:jc w:val="both"/>
        <w:rPr>
          <w:rFonts w:ascii="Times New Roman" w:hAnsi="Times New Roman" w:cs="Times New Roman"/>
          <w:i/>
          <w:iCs/>
          <w:sz w:val="24"/>
          <w:szCs w:val="24"/>
        </w:rPr>
      </w:pPr>
      <w:r w:rsidRPr="00575CF1">
        <w:rPr>
          <w:rFonts w:ascii="Times New Roman" w:hAnsi="Times New Roman" w:cs="Times New Roman"/>
          <w:i/>
          <w:iCs/>
          <w:sz w:val="24"/>
          <w:szCs w:val="24"/>
        </w:rPr>
        <w:t xml:space="preserve"> </w:t>
      </w:r>
      <w:proofErr w:type="gramStart"/>
      <w:r w:rsidRPr="00575CF1">
        <w:rPr>
          <w:rFonts w:ascii="Times New Roman" w:hAnsi="Times New Roman" w:cs="Times New Roman"/>
          <w:i/>
          <w:iCs/>
          <w:sz w:val="24"/>
          <w:szCs w:val="24"/>
        </w:rPr>
        <w:t>dans</w:t>
      </w:r>
      <w:proofErr w:type="gramEnd"/>
      <w:r w:rsidRPr="00575CF1">
        <w:rPr>
          <w:rFonts w:ascii="Times New Roman" w:hAnsi="Times New Roman" w:cs="Times New Roman"/>
          <w:i/>
          <w:iCs/>
          <w:sz w:val="24"/>
          <w:szCs w:val="24"/>
        </w:rPr>
        <w:t xml:space="preserve"> les contestations relatives au statut personnel, à l’exception des contestations d’ordre pécuniaire en découlant ;</w:t>
      </w:r>
    </w:p>
    <w:p w:rsidR="005273ED" w:rsidRPr="00575CF1" w:rsidRDefault="005273ED" w:rsidP="00B2134D">
      <w:pPr>
        <w:spacing w:after="0" w:line="240" w:lineRule="auto"/>
        <w:jc w:val="both"/>
        <w:rPr>
          <w:rFonts w:ascii="Times New Roman" w:hAnsi="Times New Roman" w:cs="Times New Roman"/>
          <w:i/>
          <w:iCs/>
          <w:sz w:val="24"/>
          <w:szCs w:val="24"/>
        </w:rPr>
      </w:pPr>
      <w:r w:rsidRPr="00575CF1">
        <w:rPr>
          <w:rFonts w:ascii="Times New Roman" w:hAnsi="Times New Roman" w:cs="Times New Roman"/>
          <w:i/>
          <w:iCs/>
          <w:sz w:val="24"/>
          <w:szCs w:val="24"/>
        </w:rPr>
        <w:t xml:space="preserve"> </w:t>
      </w:r>
      <w:proofErr w:type="gramStart"/>
      <w:r w:rsidRPr="00575CF1">
        <w:rPr>
          <w:rFonts w:ascii="Times New Roman" w:hAnsi="Times New Roman" w:cs="Times New Roman"/>
          <w:i/>
          <w:iCs/>
          <w:sz w:val="24"/>
          <w:szCs w:val="24"/>
        </w:rPr>
        <w:t>dans</w:t>
      </w:r>
      <w:proofErr w:type="gramEnd"/>
      <w:r w:rsidRPr="00575CF1">
        <w:rPr>
          <w:rFonts w:ascii="Times New Roman" w:hAnsi="Times New Roman" w:cs="Times New Roman"/>
          <w:i/>
          <w:iCs/>
          <w:sz w:val="24"/>
          <w:szCs w:val="24"/>
        </w:rPr>
        <w:t xml:space="preserve"> les matières où on ne peut transiger ;</w:t>
      </w:r>
    </w:p>
    <w:p w:rsidR="005273ED" w:rsidRDefault="005273ED" w:rsidP="00B2134D">
      <w:pPr>
        <w:spacing w:after="0" w:line="240" w:lineRule="auto"/>
        <w:jc w:val="both"/>
        <w:rPr>
          <w:rFonts w:ascii="Times New Roman" w:hAnsi="Times New Roman" w:cs="Times New Roman"/>
          <w:sz w:val="24"/>
          <w:szCs w:val="24"/>
        </w:rPr>
      </w:pPr>
      <w:r w:rsidRPr="00575CF1">
        <w:rPr>
          <w:rFonts w:ascii="Times New Roman" w:hAnsi="Times New Roman" w:cs="Times New Roman"/>
          <w:b/>
          <w:bCs/>
          <w:i/>
          <w:iCs/>
          <w:sz w:val="24"/>
          <w:szCs w:val="24"/>
          <w:u w:val="single"/>
        </w:rPr>
        <w:t>dans les contestations concernant l’Etat, les établissements publics à caractère administratif et les collectivités locales, à l’exception des contestations découlant de rapports internationaux, d’ordre économique, commercial ou financier</w:t>
      </w:r>
      <w:r w:rsidRPr="00575CF1">
        <w:rPr>
          <w:rFonts w:ascii="Times New Roman" w:hAnsi="Times New Roman" w:cs="Times New Roman"/>
          <w:i/>
          <w:iCs/>
          <w:sz w:val="24"/>
          <w:szCs w:val="24"/>
        </w:rPr>
        <w:t>, régis par le chapitre troisième du présent code</w:t>
      </w:r>
      <w:r w:rsidRPr="00575CF1">
        <w:rPr>
          <w:rFonts w:ascii="Times New Roman" w:hAnsi="Times New Roman" w:cs="Times New Roman"/>
          <w:sz w:val="24"/>
          <w:szCs w:val="24"/>
        </w:rPr>
        <w:t> </w:t>
      </w:r>
      <w:r>
        <w:rPr>
          <w:rFonts w:ascii="Times New Roman" w:hAnsi="Times New Roman" w:cs="Times New Roman"/>
          <w:sz w:val="24"/>
          <w:szCs w:val="24"/>
        </w:rPr>
        <w:t>[sur l’arbitrage international ]</w:t>
      </w:r>
      <w:r w:rsidRPr="00575CF1">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Pr="00E04AEA" w:rsidRDefault="005273ED" w:rsidP="00B16CD1">
      <w:pPr>
        <w:spacing w:after="0" w:line="240" w:lineRule="auto"/>
        <w:jc w:val="both"/>
        <w:rPr>
          <w:rFonts w:ascii="Times New Roman" w:hAnsi="Times New Roman" w:cs="Times New Roman"/>
          <w:sz w:val="24"/>
          <w:szCs w:val="24"/>
        </w:rPr>
      </w:pPr>
      <w:r w:rsidRPr="00E04AEA">
        <w:rPr>
          <w:rFonts w:ascii="Times New Roman" w:hAnsi="Times New Roman" w:cs="Times New Roman"/>
          <w:sz w:val="24"/>
          <w:szCs w:val="24"/>
        </w:rPr>
        <w:t xml:space="preserve">L’un des apports de cet article est de permettre le recours à l’arbitrage dans les litiges opposant les personnes publiques aux </w:t>
      </w:r>
      <w:r>
        <w:rPr>
          <w:rFonts w:ascii="Times New Roman" w:hAnsi="Times New Roman" w:cs="Times New Roman"/>
          <w:sz w:val="24"/>
          <w:szCs w:val="24"/>
        </w:rPr>
        <w:t xml:space="preserve">personnes privées. Il  prévoit </w:t>
      </w:r>
      <w:r w:rsidRPr="00E04AEA">
        <w:rPr>
          <w:rFonts w:ascii="Times New Roman" w:hAnsi="Times New Roman" w:cs="Times New Roman"/>
          <w:sz w:val="24"/>
          <w:szCs w:val="24"/>
        </w:rPr>
        <w:t>en effet que l’</w:t>
      </w:r>
      <w:proofErr w:type="spellStart"/>
      <w:r w:rsidRPr="00E04AEA">
        <w:rPr>
          <w:rFonts w:ascii="Times New Roman" w:hAnsi="Times New Roman" w:cs="Times New Roman"/>
          <w:sz w:val="24"/>
          <w:szCs w:val="24"/>
        </w:rPr>
        <w:t>inarbitrabilité</w:t>
      </w:r>
      <w:proofErr w:type="spellEnd"/>
      <w:r w:rsidRPr="00E04AEA">
        <w:rPr>
          <w:rFonts w:ascii="Times New Roman" w:hAnsi="Times New Roman" w:cs="Times New Roman"/>
          <w:sz w:val="24"/>
          <w:szCs w:val="24"/>
        </w:rPr>
        <w:t xml:space="preserve"> des </w:t>
      </w:r>
      <w:r w:rsidRPr="00E04AEA">
        <w:rPr>
          <w:rStyle w:val="italic"/>
          <w:rFonts w:ascii="Times New Roman" w:hAnsi="Times New Roman"/>
          <w:sz w:val="24"/>
          <w:szCs w:val="24"/>
        </w:rPr>
        <w:t xml:space="preserve">« contestations concernant l'État, les établissements publics à caractère administratif et les collectivités locales » </w:t>
      </w:r>
      <w:r w:rsidRPr="00E04AEA">
        <w:rPr>
          <w:rFonts w:ascii="Times New Roman" w:hAnsi="Times New Roman" w:cs="Times New Roman"/>
          <w:sz w:val="24"/>
          <w:szCs w:val="24"/>
        </w:rPr>
        <w:t>connaît une exception pour les</w:t>
      </w:r>
      <w:r w:rsidRPr="00E04AEA">
        <w:rPr>
          <w:rStyle w:val="italic"/>
          <w:rFonts w:ascii="Times New Roman" w:hAnsi="Times New Roman"/>
          <w:sz w:val="24"/>
          <w:szCs w:val="24"/>
        </w:rPr>
        <w:t xml:space="preserve"> « contestations découlant des rapports internationaux, d'ordre économique, commercial ou financier ». </w:t>
      </w:r>
      <w:r w:rsidRPr="00E04AEA">
        <w:rPr>
          <w:rFonts w:ascii="Times New Roman" w:hAnsi="Times New Roman" w:cs="Times New Roman"/>
          <w:sz w:val="24"/>
          <w:szCs w:val="24"/>
        </w:rPr>
        <w:t>On remarque que la prohibition ne frappe pas toutes les personnes morales de droit public. Elle ne concerne pas par exemple les EPIC et les sociétés étatiques qui peuvent recourir à l’arbitrage sans aucun problème.</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La doctrine majoritaire </w:t>
      </w:r>
      <w:r>
        <w:rPr>
          <w:rFonts w:ascii="Times New Roman" w:hAnsi="Times New Roman" w:cs="Times New Roman"/>
          <w:sz w:val="24"/>
          <w:szCs w:val="24"/>
        </w:rPr>
        <w:t>tunisienne</w:t>
      </w:r>
      <w:r w:rsidRPr="00575CF1">
        <w:rPr>
          <w:rFonts w:ascii="Times New Roman" w:hAnsi="Times New Roman" w:cs="Times New Roman"/>
          <w:sz w:val="24"/>
          <w:szCs w:val="24"/>
        </w:rPr>
        <w:t xml:space="preserve"> et </w:t>
      </w:r>
      <w:r>
        <w:rPr>
          <w:rFonts w:ascii="Times New Roman" w:hAnsi="Times New Roman" w:cs="Times New Roman"/>
          <w:sz w:val="24"/>
          <w:szCs w:val="24"/>
        </w:rPr>
        <w:t>étrangère</w:t>
      </w:r>
      <w:r w:rsidRPr="00575CF1">
        <w:rPr>
          <w:rStyle w:val="Appelnotedebasdep"/>
          <w:rFonts w:ascii="Times New Roman" w:hAnsi="Times New Roman"/>
          <w:sz w:val="24"/>
          <w:szCs w:val="24"/>
        </w:rPr>
        <w:footnoteReference w:id="38"/>
      </w:r>
      <w:r w:rsidRPr="00575CF1">
        <w:rPr>
          <w:rFonts w:ascii="Times New Roman" w:hAnsi="Times New Roman" w:cs="Times New Roman"/>
          <w:sz w:val="24"/>
          <w:szCs w:val="24"/>
        </w:rPr>
        <w:t xml:space="preserve"> </w:t>
      </w:r>
      <w:r>
        <w:rPr>
          <w:rFonts w:ascii="Times New Roman" w:hAnsi="Times New Roman" w:cs="Times New Roman"/>
          <w:sz w:val="24"/>
          <w:szCs w:val="24"/>
        </w:rPr>
        <w:t>a</w:t>
      </w:r>
      <w:r w:rsidRPr="00575CF1">
        <w:rPr>
          <w:rFonts w:ascii="Times New Roman" w:hAnsi="Times New Roman" w:cs="Times New Roman"/>
          <w:sz w:val="24"/>
          <w:szCs w:val="24"/>
        </w:rPr>
        <w:t xml:space="preserve"> salu</w:t>
      </w:r>
      <w:r>
        <w:rPr>
          <w:rFonts w:ascii="Times New Roman" w:hAnsi="Times New Roman" w:cs="Times New Roman"/>
          <w:sz w:val="24"/>
          <w:szCs w:val="24"/>
        </w:rPr>
        <w:t>é</w:t>
      </w:r>
      <w:r w:rsidRPr="00575CF1">
        <w:rPr>
          <w:rFonts w:ascii="Times New Roman" w:hAnsi="Times New Roman" w:cs="Times New Roman"/>
          <w:sz w:val="24"/>
          <w:szCs w:val="24"/>
        </w:rPr>
        <w:t xml:space="preserve"> cet article comme illustrant une vision moderne du droit de l’arbitrage. Il s’agit de l’apport le plus significatif du code car le législateur tunisien consacre la validité </w:t>
      </w:r>
      <w:r>
        <w:rPr>
          <w:rFonts w:ascii="Times New Roman" w:hAnsi="Times New Roman" w:cs="Times New Roman"/>
          <w:sz w:val="24"/>
          <w:szCs w:val="24"/>
        </w:rPr>
        <w:t>des clauses d’arbitrage dans l</w:t>
      </w:r>
      <w:r w:rsidRPr="00575CF1">
        <w:rPr>
          <w:rFonts w:ascii="Times New Roman" w:hAnsi="Times New Roman" w:cs="Times New Roman"/>
          <w:sz w:val="24"/>
          <w:szCs w:val="24"/>
        </w:rPr>
        <w:t>es contrats internationaux</w:t>
      </w:r>
      <w:r>
        <w:rPr>
          <w:rFonts w:ascii="Times New Roman" w:hAnsi="Times New Roman" w:cs="Times New Roman"/>
          <w:sz w:val="24"/>
          <w:szCs w:val="24"/>
        </w:rPr>
        <w:t xml:space="preserve"> </w:t>
      </w:r>
      <w:r w:rsidRPr="00575CF1">
        <w:rPr>
          <w:rFonts w:ascii="Times New Roman" w:hAnsi="Times New Roman" w:cs="Times New Roman"/>
          <w:sz w:val="24"/>
          <w:szCs w:val="24"/>
        </w:rPr>
        <w:t xml:space="preserve"> de l’Etat dans une règle matérielle législative</w:t>
      </w:r>
      <w:r w:rsidRPr="00575CF1">
        <w:rPr>
          <w:rStyle w:val="Appelnotedebasdep"/>
          <w:rFonts w:ascii="Times New Roman" w:hAnsi="Times New Roman"/>
          <w:sz w:val="24"/>
          <w:szCs w:val="24"/>
        </w:rPr>
        <w:footnoteReference w:id="39"/>
      </w:r>
      <w:r w:rsidRPr="00575CF1">
        <w:rPr>
          <w:rFonts w:ascii="Times New Roman" w:hAnsi="Times New Roman" w:cs="Times New Roman"/>
          <w:sz w:val="24"/>
          <w:szCs w:val="24"/>
        </w:rPr>
        <w:t xml:space="preserve">.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La majorité</w:t>
      </w:r>
      <w:r>
        <w:rPr>
          <w:rFonts w:ascii="Times New Roman" w:hAnsi="Times New Roman" w:cs="Times New Roman"/>
          <w:sz w:val="24"/>
          <w:szCs w:val="24"/>
        </w:rPr>
        <w:t xml:space="preserve"> des commentateurs</w:t>
      </w:r>
      <w:r w:rsidRPr="00575CF1">
        <w:rPr>
          <w:rFonts w:ascii="Times New Roman" w:hAnsi="Times New Roman" w:cs="Times New Roman"/>
          <w:sz w:val="24"/>
          <w:szCs w:val="24"/>
        </w:rPr>
        <w:t xml:space="preserve">, notant le caractère large des termes « économique, commercial et financier » considère qu’en fait </w:t>
      </w:r>
      <w:r>
        <w:rPr>
          <w:rFonts w:ascii="Times New Roman" w:hAnsi="Times New Roman" w:cs="Times New Roman"/>
          <w:sz w:val="24"/>
          <w:szCs w:val="24"/>
        </w:rPr>
        <w:t xml:space="preserve">l’Etat et les autres entités publiques visées peuvent valablement recourir à l’arbitrage dès lors que le contrat présente un </w:t>
      </w:r>
      <w:r w:rsidRPr="00575CF1">
        <w:rPr>
          <w:rFonts w:ascii="Times New Roman" w:hAnsi="Times New Roman" w:cs="Times New Roman"/>
          <w:sz w:val="24"/>
          <w:szCs w:val="24"/>
        </w:rPr>
        <w:t xml:space="preserve">caractère </w:t>
      </w:r>
      <w:r w:rsidRPr="00575CF1">
        <w:rPr>
          <w:rFonts w:ascii="Times New Roman" w:hAnsi="Times New Roman" w:cs="Times New Roman"/>
          <w:sz w:val="24"/>
          <w:szCs w:val="24"/>
        </w:rPr>
        <w:lastRenderedPageBreak/>
        <w:t>international</w:t>
      </w:r>
      <w:r>
        <w:rPr>
          <w:rStyle w:val="Appelnotedebasdep"/>
          <w:rFonts w:ascii="Times New Roman" w:hAnsi="Times New Roman"/>
          <w:sz w:val="24"/>
          <w:szCs w:val="24"/>
        </w:rPr>
        <w:footnoteReference w:id="40"/>
      </w:r>
      <w:r w:rsidRPr="00575CF1">
        <w:rPr>
          <w:rFonts w:ascii="Times New Roman" w:hAnsi="Times New Roman" w:cs="Times New Roman"/>
          <w:sz w:val="24"/>
          <w:szCs w:val="24"/>
        </w:rPr>
        <w:t>. Il a été dit que « </w:t>
      </w:r>
      <w:r w:rsidRPr="00813252">
        <w:rPr>
          <w:rFonts w:ascii="Times New Roman" w:hAnsi="Times New Roman" w:cs="Times New Roman"/>
          <w:i/>
          <w:iCs/>
          <w:sz w:val="24"/>
          <w:szCs w:val="24"/>
        </w:rPr>
        <w:t>de l’internationalité dépend la validité de la convention d’arbitrage souscrite par l’Etat</w:t>
      </w:r>
      <w:r w:rsidRPr="00575CF1">
        <w:rPr>
          <w:rFonts w:ascii="Times New Roman" w:hAnsi="Times New Roman" w:cs="Times New Roman"/>
          <w:sz w:val="24"/>
          <w:szCs w:val="24"/>
        </w:rPr>
        <w:t> »</w:t>
      </w:r>
      <w:r w:rsidRPr="00575CF1">
        <w:rPr>
          <w:rStyle w:val="Appelnotedebasdep"/>
          <w:rFonts w:ascii="Times New Roman" w:hAnsi="Times New Roman"/>
          <w:sz w:val="24"/>
          <w:szCs w:val="24"/>
        </w:rPr>
        <w:footnoteReference w:id="41"/>
      </w:r>
      <w:r>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Pourtant dans un arrêt du 19 mai 2009 rendue par la </w:t>
      </w:r>
      <w:r>
        <w:rPr>
          <w:rFonts w:ascii="Times New Roman" w:hAnsi="Times New Roman" w:cs="Times New Roman"/>
          <w:sz w:val="24"/>
          <w:szCs w:val="24"/>
        </w:rPr>
        <w:t>C</w:t>
      </w:r>
      <w:r w:rsidRPr="00575CF1">
        <w:rPr>
          <w:rFonts w:ascii="Times New Roman" w:hAnsi="Times New Roman" w:cs="Times New Roman"/>
          <w:sz w:val="24"/>
          <w:szCs w:val="24"/>
        </w:rPr>
        <w:t xml:space="preserve">our d’appel </w:t>
      </w:r>
      <w:r>
        <w:rPr>
          <w:rFonts w:ascii="Times New Roman" w:hAnsi="Times New Roman" w:cs="Times New Roman"/>
          <w:sz w:val="24"/>
          <w:szCs w:val="24"/>
        </w:rPr>
        <w:t xml:space="preserve">de Tunis </w:t>
      </w:r>
      <w:r w:rsidRPr="00575CF1">
        <w:rPr>
          <w:rFonts w:ascii="Times New Roman" w:hAnsi="Times New Roman" w:cs="Times New Roman"/>
          <w:sz w:val="24"/>
          <w:szCs w:val="24"/>
        </w:rPr>
        <w:t>dans l’affaire n°69135</w:t>
      </w:r>
      <w:r w:rsidRPr="00575CF1">
        <w:rPr>
          <w:rStyle w:val="Appelnotedebasdep"/>
          <w:rFonts w:ascii="Times New Roman" w:hAnsi="Times New Roman"/>
          <w:sz w:val="24"/>
          <w:szCs w:val="24"/>
        </w:rPr>
        <w:footnoteReference w:id="42"/>
      </w:r>
      <w:r w:rsidRPr="00575CF1">
        <w:rPr>
          <w:rFonts w:ascii="Times New Roman" w:hAnsi="Times New Roman" w:cs="Times New Roman"/>
          <w:sz w:val="24"/>
          <w:szCs w:val="24"/>
        </w:rPr>
        <w:t xml:space="preserve">, s’agissant d’un contrat de construction de barrage conclu entre le ministère tunisien de l’agriculture et la société </w:t>
      </w:r>
      <w:proofErr w:type="spellStart"/>
      <w:r w:rsidRPr="00575CF1">
        <w:rPr>
          <w:rFonts w:ascii="Times New Roman" w:hAnsi="Times New Roman" w:cs="Times New Roman"/>
          <w:sz w:val="24"/>
          <w:szCs w:val="24"/>
        </w:rPr>
        <w:t>Firofal</w:t>
      </w:r>
      <w:proofErr w:type="spellEnd"/>
      <w:r w:rsidRPr="00575CF1">
        <w:rPr>
          <w:rFonts w:ascii="Times New Roman" w:hAnsi="Times New Roman" w:cs="Times New Roman"/>
          <w:sz w:val="24"/>
          <w:szCs w:val="24"/>
        </w:rPr>
        <w:t xml:space="preserve"> </w:t>
      </w:r>
      <w:proofErr w:type="spellStart"/>
      <w:r w:rsidRPr="00575CF1">
        <w:rPr>
          <w:rFonts w:ascii="Times New Roman" w:hAnsi="Times New Roman" w:cs="Times New Roman"/>
          <w:sz w:val="24"/>
          <w:szCs w:val="24"/>
        </w:rPr>
        <w:t>Cometra</w:t>
      </w:r>
      <w:proofErr w:type="spellEnd"/>
      <w:r w:rsidRPr="00575CF1">
        <w:rPr>
          <w:rFonts w:ascii="Times New Roman" w:hAnsi="Times New Roman" w:cs="Times New Roman"/>
          <w:sz w:val="24"/>
          <w:szCs w:val="24"/>
        </w:rPr>
        <w:t xml:space="preserve">, </w:t>
      </w:r>
      <w:r>
        <w:rPr>
          <w:rFonts w:ascii="Times New Roman" w:hAnsi="Times New Roman" w:cs="Times New Roman"/>
          <w:sz w:val="24"/>
          <w:szCs w:val="24"/>
        </w:rPr>
        <w:t>cette cour</w:t>
      </w:r>
      <w:r w:rsidRPr="00575CF1">
        <w:rPr>
          <w:rFonts w:ascii="Times New Roman" w:hAnsi="Times New Roman" w:cs="Times New Roman"/>
          <w:sz w:val="24"/>
          <w:szCs w:val="24"/>
        </w:rPr>
        <w:t xml:space="preserve"> a invalidé une clause d’arbitrage acceptée par les deux parties. La </w:t>
      </w:r>
      <w:r>
        <w:rPr>
          <w:rFonts w:ascii="Times New Roman" w:hAnsi="Times New Roman" w:cs="Times New Roman"/>
          <w:sz w:val="24"/>
          <w:szCs w:val="24"/>
        </w:rPr>
        <w:t>C</w:t>
      </w:r>
      <w:r w:rsidRPr="00575CF1">
        <w:rPr>
          <w:rFonts w:ascii="Times New Roman" w:hAnsi="Times New Roman" w:cs="Times New Roman"/>
          <w:sz w:val="24"/>
          <w:szCs w:val="24"/>
        </w:rPr>
        <w:t xml:space="preserve">our reconnait la nature internationale du contrat. Mais, elle affirme qu’un marché public de construction n’implique pas un rapport de nature commerciale, économique et financière. Il s’agit d’un contrat administratif pur </w:t>
      </w:r>
      <w:r>
        <w:rPr>
          <w:rFonts w:ascii="Times New Roman" w:hAnsi="Times New Roman" w:cs="Times New Roman"/>
          <w:sz w:val="24"/>
          <w:szCs w:val="24"/>
        </w:rPr>
        <w:t>lié au service public et qui ne peut</w:t>
      </w:r>
      <w:r w:rsidRPr="00575CF1">
        <w:rPr>
          <w:rFonts w:ascii="Times New Roman" w:hAnsi="Times New Roman" w:cs="Times New Roman"/>
          <w:sz w:val="24"/>
          <w:szCs w:val="24"/>
        </w:rPr>
        <w:t xml:space="preserve"> pas être soumis à l’arbitrage. Seuls les contrats internationaux « privés » de l’administration peuvent être soumis à l’arbitrage à l’exclusion des contrat</w:t>
      </w:r>
      <w:r>
        <w:rPr>
          <w:rFonts w:ascii="Times New Roman" w:hAnsi="Times New Roman" w:cs="Times New Roman"/>
          <w:sz w:val="24"/>
          <w:szCs w:val="24"/>
        </w:rPr>
        <w:t xml:space="preserve">s internationaux administratifs. </w:t>
      </w:r>
      <w:r w:rsidRPr="00575CF1">
        <w:rPr>
          <w:rFonts w:ascii="Times New Roman" w:hAnsi="Times New Roman" w:cs="Times New Roman"/>
          <w:sz w:val="24"/>
          <w:szCs w:val="24"/>
        </w:rPr>
        <w:t xml:space="preserve">La cour </w:t>
      </w:r>
      <w:r>
        <w:rPr>
          <w:rFonts w:ascii="Times New Roman" w:hAnsi="Times New Roman" w:cs="Times New Roman"/>
          <w:sz w:val="24"/>
          <w:szCs w:val="24"/>
        </w:rPr>
        <w:t>considère ainsi</w:t>
      </w:r>
      <w:r w:rsidRPr="00575CF1">
        <w:rPr>
          <w:rFonts w:ascii="Times New Roman" w:hAnsi="Times New Roman" w:cs="Times New Roman"/>
          <w:sz w:val="24"/>
          <w:szCs w:val="24"/>
        </w:rPr>
        <w:t xml:space="preserve"> que l’</w:t>
      </w:r>
      <w:proofErr w:type="spellStart"/>
      <w:r w:rsidRPr="00575CF1">
        <w:rPr>
          <w:rFonts w:ascii="Times New Roman" w:hAnsi="Times New Roman" w:cs="Times New Roman"/>
          <w:sz w:val="24"/>
          <w:szCs w:val="24"/>
        </w:rPr>
        <w:t>arbitrabilité</w:t>
      </w:r>
      <w:proofErr w:type="spellEnd"/>
      <w:r w:rsidRPr="00575CF1">
        <w:rPr>
          <w:rFonts w:ascii="Times New Roman" w:hAnsi="Times New Roman" w:cs="Times New Roman"/>
          <w:sz w:val="24"/>
          <w:szCs w:val="24"/>
        </w:rPr>
        <w:t xml:space="preserve"> </w:t>
      </w:r>
      <w:r>
        <w:rPr>
          <w:rFonts w:ascii="Times New Roman" w:hAnsi="Times New Roman" w:cs="Times New Roman"/>
          <w:sz w:val="24"/>
          <w:szCs w:val="24"/>
        </w:rPr>
        <w:t xml:space="preserve">des contrats d’Etat </w:t>
      </w:r>
      <w:r w:rsidRPr="00575CF1">
        <w:rPr>
          <w:rFonts w:ascii="Times New Roman" w:hAnsi="Times New Roman" w:cs="Times New Roman"/>
          <w:sz w:val="24"/>
          <w:szCs w:val="24"/>
        </w:rPr>
        <w:t xml:space="preserve">est soumise à deux conditions cumulatives: le caractère </w:t>
      </w:r>
      <w:r>
        <w:rPr>
          <w:rFonts w:ascii="Times New Roman" w:hAnsi="Times New Roman" w:cs="Times New Roman"/>
          <w:sz w:val="24"/>
          <w:szCs w:val="24"/>
        </w:rPr>
        <w:t xml:space="preserve">international et le caractère économique, commercial ou financier.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A9114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575CF1">
        <w:rPr>
          <w:rFonts w:ascii="Times New Roman" w:hAnsi="Times New Roman" w:cs="Times New Roman"/>
          <w:sz w:val="24"/>
          <w:szCs w:val="24"/>
        </w:rPr>
        <w:t>ritiquée par la doctrine, en raison qu’elle va à l’encontre de l’esprit du texte, cette interprétation exégétique de l’article 7</w:t>
      </w:r>
      <w:r>
        <w:rPr>
          <w:rFonts w:ascii="Times New Roman" w:hAnsi="Times New Roman" w:cs="Times New Roman"/>
          <w:sz w:val="24"/>
          <w:szCs w:val="24"/>
        </w:rPr>
        <w:t xml:space="preserve"> repose sur des considérations purement formels</w:t>
      </w:r>
      <w:r w:rsidRPr="00575CF1">
        <w:rPr>
          <w:rFonts w:ascii="Times New Roman" w:hAnsi="Times New Roman" w:cs="Times New Roman"/>
          <w:sz w:val="24"/>
          <w:szCs w:val="24"/>
        </w:rPr>
        <w:t xml:space="preserve">. Mais, le problème est que sur </w:t>
      </w:r>
      <w:r>
        <w:rPr>
          <w:rFonts w:ascii="Times New Roman" w:hAnsi="Times New Roman" w:cs="Times New Roman"/>
          <w:sz w:val="24"/>
          <w:szCs w:val="24"/>
        </w:rPr>
        <w:t>l</w:t>
      </w:r>
      <w:r w:rsidRPr="00575CF1">
        <w:rPr>
          <w:rFonts w:ascii="Times New Roman" w:hAnsi="Times New Roman" w:cs="Times New Roman"/>
          <w:sz w:val="24"/>
          <w:szCs w:val="24"/>
        </w:rPr>
        <w:t xml:space="preserve">e second critère, </w:t>
      </w:r>
      <w:r>
        <w:rPr>
          <w:rFonts w:ascii="Times New Roman" w:hAnsi="Times New Roman" w:cs="Times New Roman"/>
          <w:sz w:val="24"/>
          <w:szCs w:val="24"/>
        </w:rPr>
        <w:t>le caractère économique, commercial ou financier</w:t>
      </w:r>
      <w:r w:rsidRPr="00575CF1">
        <w:rPr>
          <w:rFonts w:ascii="Times New Roman" w:hAnsi="Times New Roman" w:cs="Times New Roman"/>
          <w:sz w:val="24"/>
          <w:szCs w:val="24"/>
        </w:rPr>
        <w:t xml:space="preserve"> </w:t>
      </w:r>
      <w:r>
        <w:rPr>
          <w:rFonts w:ascii="Times New Roman" w:hAnsi="Times New Roman" w:cs="Times New Roman"/>
          <w:sz w:val="24"/>
          <w:szCs w:val="24"/>
        </w:rPr>
        <w:t xml:space="preserve">du contrat </w:t>
      </w:r>
      <w:r w:rsidRPr="00575CF1">
        <w:rPr>
          <w:rFonts w:ascii="Times New Roman" w:hAnsi="Times New Roman" w:cs="Times New Roman"/>
          <w:sz w:val="24"/>
          <w:szCs w:val="24"/>
        </w:rPr>
        <w:t xml:space="preserve">la cour refuse d’opérer une analyse approfondie </w:t>
      </w:r>
      <w:r>
        <w:rPr>
          <w:rFonts w:ascii="Times New Roman" w:hAnsi="Times New Roman" w:cs="Times New Roman"/>
          <w:sz w:val="24"/>
          <w:szCs w:val="24"/>
        </w:rPr>
        <w:t xml:space="preserve">en </w:t>
      </w:r>
      <w:r w:rsidRPr="00575CF1">
        <w:rPr>
          <w:rFonts w:ascii="Times New Roman" w:hAnsi="Times New Roman" w:cs="Times New Roman"/>
          <w:sz w:val="24"/>
          <w:szCs w:val="24"/>
        </w:rPr>
        <w:t xml:space="preserve">se contentant d’affirmer que le contrat de l’espèce n’a pas cette nature. Il est certain à notre avis que le contrat de l’espèce, contrat de construction d’un barrage implique une relation commerciale, économique et financière. </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Quoi qu’il en soit, cet arrêt surprenant va à contre courant</w:t>
      </w:r>
      <w:r w:rsidRPr="00575CF1">
        <w:rPr>
          <w:rFonts w:ascii="Times New Roman" w:hAnsi="Times New Roman" w:cs="Times New Roman"/>
          <w:sz w:val="24"/>
          <w:szCs w:val="24"/>
        </w:rPr>
        <w:t>. C’est un coup dur à l’arbitrage dans les contrats d’Etat</w:t>
      </w:r>
      <w:r>
        <w:rPr>
          <w:rFonts w:ascii="Times New Roman" w:hAnsi="Times New Roman" w:cs="Times New Roman"/>
          <w:sz w:val="24"/>
          <w:szCs w:val="24"/>
        </w:rPr>
        <w:t xml:space="preserve"> car </w:t>
      </w:r>
      <w:r w:rsidRPr="00575CF1">
        <w:rPr>
          <w:rFonts w:ascii="Times New Roman" w:hAnsi="Times New Roman" w:cs="Times New Roman"/>
          <w:sz w:val="24"/>
          <w:szCs w:val="24"/>
        </w:rPr>
        <w:t>il est admis qu’un Etat ne peut pas invoquer son propre droit pour échapper à un arbitrage qu’il a accepté</w:t>
      </w:r>
      <w:r>
        <w:rPr>
          <w:rFonts w:ascii="Times New Roman" w:hAnsi="Times New Roman" w:cs="Times New Roman"/>
          <w:sz w:val="24"/>
          <w:szCs w:val="24"/>
        </w:rPr>
        <w:t>.</w:t>
      </w:r>
    </w:p>
    <w:p w:rsidR="005273ED" w:rsidRDefault="005273ED" w:rsidP="00A911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va à l’encontre des principes de loyauté, de bonne foi et d’</w:t>
      </w:r>
      <w:r w:rsidRPr="00A321D3">
        <w:rPr>
          <w:rFonts w:ascii="Times New Roman" w:hAnsi="Times New Roman" w:cs="Times New Roman"/>
          <w:i/>
          <w:iCs/>
          <w:sz w:val="24"/>
          <w:szCs w:val="24"/>
        </w:rPr>
        <w:t xml:space="preserve">estoppel </w:t>
      </w:r>
      <w:r w:rsidRPr="00575CF1">
        <w:rPr>
          <w:rFonts w:ascii="Times New Roman" w:hAnsi="Times New Roman" w:cs="Times New Roman"/>
          <w:sz w:val="24"/>
          <w:szCs w:val="24"/>
        </w:rPr>
        <w:t xml:space="preserve"> </w:t>
      </w:r>
      <w:r>
        <w:rPr>
          <w:rFonts w:ascii="Times New Roman" w:hAnsi="Times New Roman" w:cs="Times New Roman"/>
          <w:sz w:val="24"/>
          <w:szCs w:val="24"/>
        </w:rPr>
        <w:t xml:space="preserve">que la Cour d’appel de Tunis et </w:t>
      </w:r>
      <w:r w:rsidRPr="00575CF1">
        <w:rPr>
          <w:rFonts w:ascii="Times New Roman" w:hAnsi="Times New Roman" w:cs="Times New Roman"/>
          <w:sz w:val="24"/>
          <w:szCs w:val="24"/>
        </w:rPr>
        <w:t xml:space="preserve">la cour de cassation </w:t>
      </w:r>
      <w:r>
        <w:rPr>
          <w:rFonts w:ascii="Times New Roman" w:hAnsi="Times New Roman" w:cs="Times New Roman"/>
          <w:sz w:val="24"/>
          <w:szCs w:val="24"/>
        </w:rPr>
        <w:t>ont</w:t>
      </w:r>
      <w:r w:rsidRPr="00575CF1">
        <w:rPr>
          <w:rFonts w:ascii="Times New Roman" w:hAnsi="Times New Roman" w:cs="Times New Roman"/>
          <w:sz w:val="24"/>
          <w:szCs w:val="24"/>
        </w:rPr>
        <w:t xml:space="preserve"> consacré</w:t>
      </w:r>
      <w:r>
        <w:rPr>
          <w:rFonts w:ascii="Times New Roman" w:hAnsi="Times New Roman" w:cs="Times New Roman"/>
          <w:sz w:val="24"/>
          <w:szCs w:val="24"/>
        </w:rPr>
        <w:t>s.</w:t>
      </w:r>
    </w:p>
    <w:p w:rsidR="005273ED" w:rsidRDefault="005273ED" w:rsidP="00A911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Il peut défavoriser </w:t>
      </w:r>
      <w:r>
        <w:rPr>
          <w:rFonts w:ascii="Times New Roman" w:hAnsi="Times New Roman" w:cs="Times New Roman"/>
          <w:sz w:val="24"/>
          <w:szCs w:val="24"/>
        </w:rPr>
        <w:t xml:space="preserve">les entités publiques tunisiennes qui prennent </w:t>
      </w:r>
      <w:r w:rsidRPr="00575CF1">
        <w:rPr>
          <w:rFonts w:ascii="Times New Roman" w:hAnsi="Times New Roman" w:cs="Times New Roman"/>
          <w:sz w:val="24"/>
          <w:szCs w:val="24"/>
        </w:rPr>
        <w:t>l’initiative de recourir à l’arbitrage</w:t>
      </w:r>
      <w:r>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Il est incompatible avec l’article 67 du code tunisien de l’investissement qui autorise l’Etat à insérer des conventions d’arbitrage dans les contrats conclus avec les investisseurs étrangers sans aucune restriction. </w:t>
      </w:r>
      <w:r>
        <w:rPr>
          <w:rFonts w:ascii="Times New Roman" w:hAnsi="Times New Roman" w:cs="Times New Roman"/>
          <w:sz w:val="24"/>
          <w:szCs w:val="24"/>
        </w:rPr>
        <w:t xml:space="preserve">Selon cet article </w:t>
      </w:r>
      <w:r w:rsidRPr="00575CF1">
        <w:rPr>
          <w:rFonts w:ascii="Times New Roman" w:hAnsi="Times New Roman" w:cs="Times New Roman"/>
          <w:sz w:val="24"/>
          <w:szCs w:val="24"/>
        </w:rPr>
        <w:t>« </w:t>
      </w:r>
      <w:r w:rsidRPr="00A321D3">
        <w:rPr>
          <w:rFonts w:ascii="Times New Roman" w:hAnsi="Times New Roman" w:cs="Times New Roman"/>
          <w:i/>
          <w:iCs/>
          <w:sz w:val="24"/>
          <w:szCs w:val="24"/>
        </w:rPr>
        <w:t>Les tribunaux tunisiens sont compétents pour connaître de tout différend entre l’investisseur étranger et l’Etat Tunisien, sauf accord prévu par une clause compromissoire ou permettant à l’une des parties de recourir à l’arbitrage selon des procédures d’arbitrage ad-hoc…</w:t>
      </w:r>
      <w:r w:rsidRPr="00575CF1">
        <w:rPr>
          <w:rFonts w:ascii="Times New Roman" w:hAnsi="Times New Roman" w:cs="Times New Roman"/>
          <w:sz w:val="24"/>
          <w:szCs w:val="24"/>
        </w:rPr>
        <w:t> ».</w:t>
      </w:r>
      <w:r>
        <w:rPr>
          <w:rFonts w:ascii="Times New Roman" w:hAnsi="Times New Roman" w:cs="Times New Roman"/>
          <w:sz w:val="24"/>
          <w:szCs w:val="24"/>
        </w:rPr>
        <w:t xml:space="preserve"> Il s’agit là d’une exception plus large que celle prévue dans l’article 7-5 du code de l’arbitrage qui valide les clauses d’arbitrage dans les contrats conclus entre l’Etat tunisien et les investisseurs étrangers, comme c’est le cas du </w:t>
      </w:r>
      <w:r>
        <w:rPr>
          <w:rFonts w:ascii="Times New Roman" w:hAnsi="Times New Roman" w:cs="Times New Roman"/>
          <w:sz w:val="24"/>
          <w:szCs w:val="24"/>
        </w:rPr>
        <w:lastRenderedPageBreak/>
        <w:t xml:space="preserve">contrat de construction de l’espèce singé </w:t>
      </w:r>
      <w:r w:rsidRPr="00575CF1">
        <w:rPr>
          <w:rFonts w:ascii="Times New Roman" w:hAnsi="Times New Roman" w:cs="Times New Roman"/>
          <w:sz w:val="24"/>
          <w:szCs w:val="24"/>
        </w:rPr>
        <w:t xml:space="preserve">entre le ministère tunisien de l’agriculture et la société </w:t>
      </w:r>
      <w:proofErr w:type="spellStart"/>
      <w:r w:rsidRPr="00575CF1">
        <w:rPr>
          <w:rFonts w:ascii="Times New Roman" w:hAnsi="Times New Roman" w:cs="Times New Roman"/>
          <w:sz w:val="24"/>
          <w:szCs w:val="24"/>
        </w:rPr>
        <w:t>Firofal</w:t>
      </w:r>
      <w:proofErr w:type="spellEnd"/>
      <w:r w:rsidRPr="00575CF1">
        <w:rPr>
          <w:rFonts w:ascii="Times New Roman" w:hAnsi="Times New Roman" w:cs="Times New Roman"/>
          <w:sz w:val="24"/>
          <w:szCs w:val="24"/>
        </w:rPr>
        <w:t xml:space="preserve"> </w:t>
      </w:r>
      <w:proofErr w:type="spellStart"/>
      <w:r w:rsidRPr="00575CF1">
        <w:rPr>
          <w:rFonts w:ascii="Times New Roman" w:hAnsi="Times New Roman" w:cs="Times New Roman"/>
          <w:sz w:val="24"/>
          <w:szCs w:val="24"/>
        </w:rPr>
        <w:t>Cometra</w:t>
      </w:r>
      <w:proofErr w:type="spellEnd"/>
      <w:r>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L’arrêt contredit même la jurisprudence tunisienne antérieure à l’adoption du code d’arbitrage qui admet la validité des clauses d’arbitrages conclus par l’Etat dans les contrats internationaux</w:t>
      </w:r>
      <w:r>
        <w:rPr>
          <w:rStyle w:val="Appelnotedebasdep"/>
          <w:rFonts w:ascii="Times New Roman" w:hAnsi="Times New Roman"/>
          <w:sz w:val="24"/>
          <w:szCs w:val="24"/>
        </w:rPr>
        <w:footnoteReference w:id="43"/>
      </w:r>
      <w:r>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jurisprudence hostile à l’arbitrage poussera les entreprises étrangères à ne pas participer aux marchés publics en Tunisie ou à facturer plus chère leurs prestations ou à exiger un arbitrage en dehors de la Tunisie. Il ne permet pas la promotion de la Tunisie en tant que centre international de l’arbitrage.</w:t>
      </w:r>
      <w:r w:rsidRPr="00A9114D">
        <w:rPr>
          <w:rFonts w:ascii="Times New Roman" w:hAnsi="Times New Roman" w:cs="Times New Roman"/>
          <w:sz w:val="24"/>
          <w:szCs w:val="24"/>
        </w:rPr>
        <w:t xml:space="preserve"> </w:t>
      </w:r>
      <w:r>
        <w:rPr>
          <w:rFonts w:ascii="Times New Roman" w:hAnsi="Times New Roman" w:cs="Times New Roman"/>
          <w:sz w:val="24"/>
          <w:szCs w:val="24"/>
        </w:rPr>
        <w:t xml:space="preserve">Comme il a été affirmé, si on suit cette analyse, un marché public d’achat de stylo serait </w:t>
      </w:r>
      <w:proofErr w:type="spellStart"/>
      <w:r>
        <w:rPr>
          <w:rFonts w:ascii="Times New Roman" w:hAnsi="Times New Roman" w:cs="Times New Roman"/>
          <w:sz w:val="24"/>
          <w:szCs w:val="24"/>
        </w:rPr>
        <w:t>inarabitrale</w:t>
      </w:r>
      <w:proofErr w:type="spellEnd"/>
      <w:r>
        <w:rPr>
          <w:rStyle w:val="Appelnotedebasdep"/>
          <w:rFonts w:ascii="Times New Roman" w:hAnsi="Times New Roman"/>
          <w:sz w:val="24"/>
          <w:szCs w:val="24"/>
        </w:rPr>
        <w:footnoteReference w:id="44"/>
      </w:r>
      <w:r>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Qui plus est, l’annulation des sentences relatives aux contrats d’Etat par les juridictions tunisienne  n’empêche pas leurs reconnaissances et leurs l’exécutions à l’étranger dans certains pays ayant une législation moderne</w:t>
      </w:r>
      <w:r>
        <w:rPr>
          <w:rStyle w:val="Appelnotedebasdep"/>
          <w:rFonts w:ascii="Times New Roman" w:hAnsi="Times New Roman"/>
          <w:sz w:val="24"/>
          <w:szCs w:val="24"/>
        </w:rPr>
        <w:footnoteReference w:id="45"/>
      </w:r>
      <w:r>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16CD1">
      <w:p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 xml:space="preserve">On espère que cet arrêt </w:t>
      </w:r>
      <w:r>
        <w:rPr>
          <w:rFonts w:ascii="Times New Roman" w:hAnsi="Times New Roman" w:cs="Times New Roman"/>
          <w:sz w:val="24"/>
          <w:szCs w:val="24"/>
        </w:rPr>
        <w:t>qui aux termes d’un magistrat tunisien « </w:t>
      </w:r>
      <w:r w:rsidRPr="00A9114D">
        <w:rPr>
          <w:rFonts w:ascii="Times New Roman" w:hAnsi="Times New Roman" w:cs="Times New Roman"/>
          <w:i/>
          <w:iCs/>
          <w:sz w:val="24"/>
          <w:szCs w:val="24"/>
        </w:rPr>
        <w:t>sonnera le glas de l’article 7-5 du code de l’arbitrage et enterra l’œuvre avant-gardiste du législateur</w:t>
      </w:r>
      <w:r>
        <w:rPr>
          <w:rFonts w:ascii="Times New Roman" w:hAnsi="Times New Roman" w:cs="Times New Roman"/>
          <w:sz w:val="24"/>
          <w:szCs w:val="24"/>
        </w:rPr>
        <w:t> »</w:t>
      </w:r>
      <w:r>
        <w:rPr>
          <w:rStyle w:val="Appelnotedebasdep"/>
          <w:rFonts w:ascii="Times New Roman" w:hAnsi="Times New Roman"/>
          <w:sz w:val="24"/>
          <w:szCs w:val="24"/>
        </w:rPr>
        <w:footnoteReference w:id="46"/>
      </w:r>
      <w:r>
        <w:rPr>
          <w:rFonts w:ascii="Times New Roman" w:hAnsi="Times New Roman" w:cs="Times New Roman"/>
          <w:sz w:val="24"/>
          <w:szCs w:val="24"/>
        </w:rPr>
        <w:t xml:space="preserve"> </w:t>
      </w:r>
      <w:r w:rsidRPr="00575CF1">
        <w:rPr>
          <w:rFonts w:ascii="Times New Roman" w:hAnsi="Times New Roman" w:cs="Times New Roman"/>
          <w:sz w:val="24"/>
          <w:szCs w:val="24"/>
        </w:rPr>
        <w:t>restera isolé.</w:t>
      </w:r>
    </w:p>
    <w:p w:rsidR="005273ED" w:rsidRDefault="005273ED" w:rsidP="00B2134D">
      <w:pPr>
        <w:spacing w:after="0" w:line="240" w:lineRule="auto"/>
        <w:jc w:val="both"/>
        <w:rPr>
          <w:rFonts w:ascii="Times New Roman" w:hAnsi="Times New Roman" w:cs="Times New Roman"/>
          <w:b/>
          <w:bCs/>
          <w:sz w:val="24"/>
          <w:szCs w:val="24"/>
        </w:rPr>
      </w:pPr>
    </w:p>
    <w:p w:rsidR="005273ED" w:rsidRPr="00D24938" w:rsidRDefault="005273ED" w:rsidP="00B2134D">
      <w:pPr>
        <w:spacing w:after="0" w:line="240" w:lineRule="auto"/>
        <w:jc w:val="both"/>
        <w:rPr>
          <w:rFonts w:ascii="Times New Roman" w:hAnsi="Times New Roman" w:cs="Times New Roman"/>
          <w:b/>
          <w:bCs/>
          <w:sz w:val="24"/>
          <w:szCs w:val="24"/>
        </w:rPr>
      </w:pPr>
      <w:r w:rsidRPr="00D24938">
        <w:rPr>
          <w:rFonts w:ascii="Times New Roman" w:hAnsi="Times New Roman" w:cs="Times New Roman"/>
          <w:b/>
          <w:bCs/>
          <w:sz w:val="24"/>
          <w:szCs w:val="24"/>
        </w:rPr>
        <w:t>III. Conclusions</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A9114D">
      <w:pPr>
        <w:numPr>
          <w:ilvl w:val="0"/>
          <w:numId w:val="8"/>
        </w:numPr>
        <w:spacing w:after="0" w:line="240" w:lineRule="auto"/>
        <w:jc w:val="both"/>
        <w:rPr>
          <w:rFonts w:ascii="Times New Roman" w:hAnsi="Times New Roman" w:cs="Times New Roman"/>
          <w:sz w:val="24"/>
          <w:szCs w:val="24"/>
        </w:rPr>
      </w:pPr>
      <w:bookmarkStart w:id="6" w:name="_Toc16936775"/>
      <w:bookmarkStart w:id="7" w:name="_Toc16938616"/>
      <w:r w:rsidRPr="00575CF1">
        <w:rPr>
          <w:rFonts w:ascii="Times New Roman" w:hAnsi="Times New Roman" w:cs="Times New Roman"/>
          <w:sz w:val="24"/>
          <w:szCs w:val="24"/>
          <w:lang w:eastAsia="fr-FR"/>
        </w:rPr>
        <w:t xml:space="preserve">La Tunisie, premier pays arabe à abolir l’esclavage (1847), premier pays arabe à adopter une Constitution (1861), premier pays arabe à promulguer un Code du </w:t>
      </w:r>
      <w:r>
        <w:rPr>
          <w:rFonts w:ascii="Times New Roman" w:hAnsi="Times New Roman" w:cs="Times New Roman"/>
          <w:sz w:val="24"/>
          <w:szCs w:val="24"/>
          <w:lang w:eastAsia="fr-FR"/>
        </w:rPr>
        <w:t>s</w:t>
      </w:r>
      <w:r w:rsidRPr="00575CF1">
        <w:rPr>
          <w:rFonts w:ascii="Times New Roman" w:hAnsi="Times New Roman" w:cs="Times New Roman"/>
          <w:sz w:val="24"/>
          <w:szCs w:val="24"/>
          <w:lang w:eastAsia="fr-FR"/>
        </w:rPr>
        <w:t xml:space="preserve">tatut </w:t>
      </w:r>
      <w:r>
        <w:rPr>
          <w:rFonts w:ascii="Times New Roman" w:hAnsi="Times New Roman" w:cs="Times New Roman"/>
          <w:sz w:val="24"/>
          <w:szCs w:val="24"/>
          <w:lang w:eastAsia="fr-FR"/>
        </w:rPr>
        <w:t>p</w:t>
      </w:r>
      <w:r w:rsidRPr="00575CF1">
        <w:rPr>
          <w:rFonts w:ascii="Times New Roman" w:hAnsi="Times New Roman" w:cs="Times New Roman"/>
          <w:sz w:val="24"/>
          <w:szCs w:val="24"/>
          <w:lang w:eastAsia="fr-FR"/>
        </w:rPr>
        <w:t>ersonnel (1956), garantissant les droits révolutionnaires pour de la Femme</w:t>
      </w:r>
      <w:r>
        <w:rPr>
          <w:rFonts w:ascii="Times New Roman" w:hAnsi="Times New Roman" w:cs="Times New Roman"/>
          <w:sz w:val="24"/>
          <w:szCs w:val="24"/>
          <w:lang w:eastAsia="fr-FR"/>
        </w:rPr>
        <w:t xml:space="preserve">, </w:t>
      </w:r>
      <w:r w:rsidRPr="00575CF1">
        <w:rPr>
          <w:rFonts w:ascii="Times New Roman" w:hAnsi="Times New Roman" w:cs="Times New Roman"/>
          <w:sz w:val="24"/>
          <w:szCs w:val="24"/>
          <w:lang w:eastAsia="fr-FR"/>
        </w:rPr>
        <w:t xml:space="preserve">et aujourd’hui, premier pays arabe à faire </w:t>
      </w:r>
      <w:r>
        <w:rPr>
          <w:rFonts w:ascii="Times New Roman" w:hAnsi="Times New Roman" w:cs="Times New Roman"/>
          <w:sz w:val="24"/>
          <w:szCs w:val="24"/>
        </w:rPr>
        <w:t xml:space="preserve">une révolution </w:t>
      </w:r>
      <w:r w:rsidRPr="00575CF1">
        <w:rPr>
          <w:rFonts w:ascii="Times New Roman" w:hAnsi="Times New Roman" w:cs="Times New Roman"/>
          <w:sz w:val="24"/>
          <w:szCs w:val="24"/>
        </w:rPr>
        <w:t>pour la Démocratie, la justice et le Droit (2011).</w:t>
      </w:r>
    </w:p>
    <w:p w:rsidR="005273ED" w:rsidRDefault="005273ED" w:rsidP="00B2134D">
      <w:pPr>
        <w:spacing w:after="0" w:line="240" w:lineRule="auto"/>
        <w:jc w:val="both"/>
        <w:rPr>
          <w:rFonts w:ascii="Times New Roman" w:hAnsi="Times New Roman" w:cs="Times New Roman"/>
          <w:sz w:val="24"/>
          <w:szCs w:val="24"/>
        </w:rPr>
      </w:pPr>
    </w:p>
    <w:p w:rsidR="005273ED" w:rsidRDefault="005273ED" w:rsidP="00B2134D">
      <w:pPr>
        <w:numPr>
          <w:ilvl w:val="0"/>
          <w:numId w:val="8"/>
        </w:num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t>Il y a une fatalité historique de réforme et de modernisation</w:t>
      </w:r>
      <w:r>
        <w:rPr>
          <w:rFonts w:ascii="Times New Roman" w:hAnsi="Times New Roman" w:cs="Times New Roman"/>
          <w:sz w:val="24"/>
          <w:szCs w:val="24"/>
        </w:rPr>
        <w:t xml:space="preserve"> en Tunisie</w:t>
      </w:r>
      <w:r w:rsidRPr="00575CF1">
        <w:rPr>
          <w:rFonts w:ascii="Times New Roman" w:hAnsi="Times New Roman" w:cs="Times New Roman"/>
          <w:sz w:val="24"/>
          <w:szCs w:val="24"/>
        </w:rPr>
        <w:t xml:space="preserve">. Le droit de l’arbitrage ne peut pas échapper à cette fatalité. En dépit de ces accidents de parcours, le juge tunisien finira </w:t>
      </w:r>
      <w:r>
        <w:rPr>
          <w:rFonts w:ascii="Times New Roman" w:hAnsi="Times New Roman" w:cs="Times New Roman"/>
          <w:sz w:val="24"/>
          <w:szCs w:val="24"/>
        </w:rPr>
        <w:t>par retrouver</w:t>
      </w:r>
      <w:r w:rsidRPr="00575CF1">
        <w:rPr>
          <w:rFonts w:ascii="Times New Roman" w:hAnsi="Times New Roman" w:cs="Times New Roman"/>
          <w:sz w:val="24"/>
          <w:szCs w:val="24"/>
        </w:rPr>
        <w:t xml:space="preserve"> la voie de la modernité et du progrès. L’arbitrage perçu il y a à peine quelques années comme une </w:t>
      </w:r>
      <w:r>
        <w:rPr>
          <w:rFonts w:ascii="Times New Roman" w:hAnsi="Times New Roman" w:cs="Times New Roman"/>
          <w:sz w:val="24"/>
          <w:szCs w:val="24"/>
        </w:rPr>
        <w:t xml:space="preserve">de </w:t>
      </w:r>
      <w:r w:rsidRPr="00575CF1">
        <w:rPr>
          <w:rFonts w:ascii="Times New Roman" w:hAnsi="Times New Roman" w:cs="Times New Roman"/>
          <w:sz w:val="24"/>
          <w:szCs w:val="24"/>
        </w:rPr>
        <w:t xml:space="preserve">justice étrange venue d’ailleurs, est aujourd’hui le mode </w:t>
      </w:r>
      <w:r>
        <w:rPr>
          <w:rFonts w:ascii="Times New Roman" w:hAnsi="Times New Roman" w:cs="Times New Roman"/>
          <w:sz w:val="24"/>
          <w:szCs w:val="24"/>
        </w:rPr>
        <w:t>ordinaire de règlement des litiges économiques internationaux</w:t>
      </w:r>
      <w:r w:rsidRPr="00575CF1">
        <w:rPr>
          <w:rFonts w:ascii="Times New Roman" w:hAnsi="Times New Roman" w:cs="Times New Roman"/>
          <w:sz w:val="24"/>
          <w:szCs w:val="24"/>
        </w:rPr>
        <w:t xml:space="preserve"> en Tunisie. Il n’e</w:t>
      </w:r>
      <w:r>
        <w:rPr>
          <w:rFonts w:ascii="Times New Roman" w:hAnsi="Times New Roman" w:cs="Times New Roman"/>
          <w:sz w:val="24"/>
          <w:szCs w:val="24"/>
        </w:rPr>
        <w:t>st pas excessif d’affirmer qu’en dépit des</w:t>
      </w:r>
      <w:r w:rsidRPr="00575CF1">
        <w:rPr>
          <w:rFonts w:ascii="Times New Roman" w:hAnsi="Times New Roman" w:cs="Times New Roman"/>
          <w:sz w:val="24"/>
          <w:szCs w:val="24"/>
        </w:rPr>
        <w:t xml:space="preserve"> dispositions parfois maladroites </w:t>
      </w:r>
      <w:r>
        <w:rPr>
          <w:rFonts w:ascii="Times New Roman" w:hAnsi="Times New Roman" w:cs="Times New Roman"/>
          <w:sz w:val="24"/>
          <w:szCs w:val="24"/>
        </w:rPr>
        <w:t>et des</w:t>
      </w:r>
      <w:r w:rsidRPr="00575CF1">
        <w:rPr>
          <w:rFonts w:ascii="Times New Roman" w:hAnsi="Times New Roman" w:cs="Times New Roman"/>
          <w:sz w:val="24"/>
          <w:szCs w:val="24"/>
        </w:rPr>
        <w:t xml:space="preserve"> interprétations parfois </w:t>
      </w:r>
      <w:r>
        <w:rPr>
          <w:rFonts w:ascii="Times New Roman" w:hAnsi="Times New Roman" w:cs="Times New Roman"/>
          <w:sz w:val="24"/>
          <w:szCs w:val="24"/>
        </w:rPr>
        <w:t>décevantes</w:t>
      </w:r>
      <w:r w:rsidRPr="00575CF1">
        <w:rPr>
          <w:rFonts w:ascii="Times New Roman" w:hAnsi="Times New Roman" w:cs="Times New Roman"/>
          <w:sz w:val="24"/>
          <w:szCs w:val="24"/>
        </w:rPr>
        <w:t>, peu à peu mais en somme assez rapidement, est en train de se constituer une véritable culture de l’arbitrage en Tunisie</w:t>
      </w:r>
      <w:r>
        <w:rPr>
          <w:rStyle w:val="Appelnotedebasdep"/>
          <w:rFonts w:ascii="Times New Roman" w:hAnsi="Times New Roman"/>
          <w:sz w:val="24"/>
          <w:szCs w:val="24"/>
        </w:rPr>
        <w:footnoteReference w:id="47"/>
      </w:r>
      <w:r w:rsidRPr="00575CF1">
        <w:rPr>
          <w:rFonts w:ascii="Times New Roman" w:hAnsi="Times New Roman" w:cs="Times New Roman"/>
          <w:sz w:val="24"/>
          <w:szCs w:val="24"/>
        </w:rPr>
        <w:t>.</w:t>
      </w:r>
    </w:p>
    <w:p w:rsidR="005273ED" w:rsidRDefault="005273ED" w:rsidP="00B2134D">
      <w:pPr>
        <w:spacing w:after="0" w:line="240" w:lineRule="auto"/>
        <w:jc w:val="both"/>
        <w:rPr>
          <w:rFonts w:ascii="Times New Roman" w:hAnsi="Times New Roman" w:cs="Times New Roman"/>
          <w:sz w:val="24"/>
          <w:szCs w:val="24"/>
        </w:rPr>
      </w:pPr>
    </w:p>
    <w:p w:rsidR="005273ED" w:rsidRPr="00575CF1" w:rsidRDefault="005273ED" w:rsidP="00B16CD1">
      <w:pPr>
        <w:spacing w:after="0" w:line="240" w:lineRule="auto"/>
        <w:jc w:val="both"/>
        <w:rPr>
          <w:rFonts w:ascii="Times New Roman" w:hAnsi="Times New Roman" w:cs="Times New Roman"/>
          <w:sz w:val="24"/>
          <w:szCs w:val="24"/>
        </w:rPr>
      </w:pPr>
      <w:r w:rsidRPr="00575CF1">
        <w:rPr>
          <w:rFonts w:ascii="Times New Roman" w:hAnsi="Times New Roman" w:cs="Times New Roman"/>
          <w:sz w:val="24"/>
          <w:szCs w:val="24"/>
        </w:rPr>
        <w:lastRenderedPageBreak/>
        <w:t>La Tunisie est un laboratoire des réformes. Aujourd’hui, elle exporte sa révolution pacifique</w:t>
      </w:r>
      <w:r>
        <w:rPr>
          <w:rFonts w:ascii="Times New Roman" w:hAnsi="Times New Roman" w:cs="Times New Roman"/>
          <w:sz w:val="24"/>
          <w:szCs w:val="24"/>
        </w:rPr>
        <w:t xml:space="preserve"> pour la démocratie</w:t>
      </w:r>
      <w:r w:rsidRPr="00575CF1">
        <w:rPr>
          <w:rFonts w:ascii="Times New Roman" w:hAnsi="Times New Roman" w:cs="Times New Roman"/>
          <w:sz w:val="24"/>
          <w:szCs w:val="24"/>
        </w:rPr>
        <w:t xml:space="preserve">. </w:t>
      </w:r>
      <w:r>
        <w:rPr>
          <w:rFonts w:ascii="Times New Roman" w:hAnsi="Times New Roman" w:cs="Times New Roman"/>
          <w:sz w:val="24"/>
          <w:szCs w:val="24"/>
        </w:rPr>
        <w:t>On espérera qu’</w:t>
      </w:r>
      <w:r w:rsidRPr="00575CF1">
        <w:rPr>
          <w:rFonts w:ascii="Times New Roman" w:hAnsi="Times New Roman" w:cs="Times New Roman"/>
          <w:sz w:val="24"/>
          <w:szCs w:val="24"/>
        </w:rPr>
        <w:t>elle exporte</w:t>
      </w:r>
      <w:r>
        <w:rPr>
          <w:rFonts w:ascii="Times New Roman" w:hAnsi="Times New Roman" w:cs="Times New Roman"/>
          <w:sz w:val="24"/>
          <w:szCs w:val="24"/>
        </w:rPr>
        <w:t xml:space="preserve">ra un droit d’arbitrage moderne, </w:t>
      </w:r>
      <w:r w:rsidRPr="00575CF1">
        <w:rPr>
          <w:rFonts w:ascii="Times New Roman" w:hAnsi="Times New Roman" w:cs="Times New Roman"/>
          <w:sz w:val="24"/>
          <w:szCs w:val="24"/>
        </w:rPr>
        <w:t>progressiste</w:t>
      </w:r>
      <w:bookmarkEnd w:id="6"/>
      <w:bookmarkEnd w:id="7"/>
      <w:r>
        <w:rPr>
          <w:rFonts w:ascii="Times New Roman" w:hAnsi="Times New Roman" w:cs="Times New Roman"/>
          <w:sz w:val="24"/>
          <w:szCs w:val="24"/>
        </w:rPr>
        <w:t xml:space="preserve"> et juste.</w:t>
      </w:r>
    </w:p>
    <w:p w:rsidR="005273ED" w:rsidRPr="00575CF1" w:rsidRDefault="005273ED" w:rsidP="00B2134D">
      <w:pPr>
        <w:spacing w:after="0" w:line="240" w:lineRule="auto"/>
        <w:jc w:val="both"/>
        <w:rPr>
          <w:rFonts w:ascii="Times New Roman" w:hAnsi="Times New Roman" w:cs="Times New Roman"/>
          <w:sz w:val="24"/>
          <w:szCs w:val="24"/>
        </w:rPr>
      </w:pPr>
    </w:p>
    <w:sectPr w:rsidR="005273ED" w:rsidRPr="00575CF1" w:rsidSect="00C23B30">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E97" w:rsidRDefault="00F47E97" w:rsidP="00214ED1">
      <w:pPr>
        <w:spacing w:after="0" w:line="240" w:lineRule="auto"/>
      </w:pPr>
      <w:r>
        <w:separator/>
      </w:r>
    </w:p>
  </w:endnote>
  <w:endnote w:type="continuationSeparator" w:id="0">
    <w:p w:rsidR="00F47E97" w:rsidRDefault="00F47E97" w:rsidP="00214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ED" w:rsidRDefault="00167F36" w:rsidP="00A321D3">
    <w:pPr>
      <w:pStyle w:val="Pieddepage"/>
      <w:framePr w:wrap="around" w:vAnchor="text" w:hAnchor="margin" w:xAlign="center" w:y="1"/>
      <w:rPr>
        <w:rStyle w:val="Numrodepage"/>
        <w:rFonts w:cs="Arial"/>
      </w:rPr>
    </w:pPr>
    <w:r>
      <w:rPr>
        <w:rStyle w:val="Numrodepage"/>
        <w:rFonts w:cs="Arial"/>
      </w:rPr>
      <w:fldChar w:fldCharType="begin"/>
    </w:r>
    <w:r w:rsidR="005273ED">
      <w:rPr>
        <w:rStyle w:val="Numrodepage"/>
        <w:rFonts w:cs="Arial"/>
      </w:rPr>
      <w:instrText xml:space="preserve">PAGE  </w:instrText>
    </w:r>
    <w:r>
      <w:rPr>
        <w:rStyle w:val="Numrodepage"/>
        <w:rFonts w:cs="Arial"/>
      </w:rPr>
      <w:fldChar w:fldCharType="end"/>
    </w:r>
  </w:p>
  <w:p w:rsidR="005273ED" w:rsidRDefault="005273E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ED" w:rsidRDefault="00167F36" w:rsidP="00A321D3">
    <w:pPr>
      <w:pStyle w:val="Pieddepage"/>
      <w:framePr w:wrap="around" w:vAnchor="text" w:hAnchor="margin" w:xAlign="center" w:y="1"/>
      <w:rPr>
        <w:rStyle w:val="Numrodepage"/>
        <w:rFonts w:cs="Arial"/>
      </w:rPr>
    </w:pPr>
    <w:r>
      <w:rPr>
        <w:rStyle w:val="Numrodepage"/>
        <w:rFonts w:cs="Arial"/>
      </w:rPr>
      <w:fldChar w:fldCharType="begin"/>
    </w:r>
    <w:r w:rsidR="005273ED">
      <w:rPr>
        <w:rStyle w:val="Numrodepage"/>
        <w:rFonts w:cs="Arial"/>
      </w:rPr>
      <w:instrText xml:space="preserve">PAGE  </w:instrText>
    </w:r>
    <w:r>
      <w:rPr>
        <w:rStyle w:val="Numrodepage"/>
        <w:rFonts w:cs="Arial"/>
      </w:rPr>
      <w:fldChar w:fldCharType="separate"/>
    </w:r>
    <w:r w:rsidR="00CD4CC0">
      <w:rPr>
        <w:rStyle w:val="Numrodepage"/>
        <w:rFonts w:cs="Arial"/>
        <w:noProof/>
      </w:rPr>
      <w:t>1</w:t>
    </w:r>
    <w:r>
      <w:rPr>
        <w:rStyle w:val="Numrodepage"/>
        <w:rFonts w:cs="Arial"/>
      </w:rPr>
      <w:fldChar w:fldCharType="end"/>
    </w:r>
  </w:p>
  <w:p w:rsidR="005273ED" w:rsidRDefault="005273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E97" w:rsidRDefault="00F47E97" w:rsidP="00214ED1">
      <w:pPr>
        <w:spacing w:after="0" w:line="240" w:lineRule="auto"/>
      </w:pPr>
      <w:r>
        <w:separator/>
      </w:r>
    </w:p>
  </w:footnote>
  <w:footnote w:type="continuationSeparator" w:id="0">
    <w:p w:rsidR="00F47E97" w:rsidRDefault="00F47E97" w:rsidP="00214ED1">
      <w:pPr>
        <w:spacing w:after="0" w:line="240" w:lineRule="auto"/>
      </w:pPr>
      <w:r>
        <w:continuationSeparator/>
      </w:r>
    </w:p>
  </w:footnote>
  <w:footnote w:id="1">
    <w:p w:rsidR="005273ED" w:rsidRPr="00CD4CC0" w:rsidRDefault="005273ED" w:rsidP="003A5A38">
      <w:pPr>
        <w:pStyle w:val="Notedebasdepage"/>
        <w:jc w:val="both"/>
        <w:rPr>
          <w:lang w:val="en-US"/>
        </w:rPr>
      </w:pPr>
      <w:r w:rsidRPr="00C07F07">
        <w:rPr>
          <w:rStyle w:val="Appelnotedebasdep"/>
          <w:rFonts w:ascii="Times New Roman" w:hAnsi="Times New Roman"/>
        </w:rPr>
        <w:footnoteRef/>
      </w:r>
      <w:r w:rsidRPr="00C07F07">
        <w:rPr>
          <w:rFonts w:ascii="Times New Roman" w:hAnsi="Times New Roman" w:cs="Times New Roman"/>
          <w:lang w:val="en-GB"/>
        </w:rPr>
        <w:t xml:space="preserve"> </w:t>
      </w:r>
      <w:proofErr w:type="spellStart"/>
      <w:proofErr w:type="gramStart"/>
      <w:r w:rsidRPr="00C07F07">
        <w:rPr>
          <w:rFonts w:ascii="Times New Roman" w:hAnsi="Times New Roman" w:cs="Times New Roman"/>
          <w:lang w:val="en-GB"/>
        </w:rPr>
        <w:t>Voir</w:t>
      </w:r>
      <w:proofErr w:type="spellEnd"/>
      <w:r w:rsidRPr="00C07F07">
        <w:rPr>
          <w:rFonts w:ascii="Times New Roman" w:hAnsi="Times New Roman" w:cs="Times New Roman"/>
          <w:lang w:val="en-GB"/>
        </w:rPr>
        <w:t xml:space="preserve"> </w:t>
      </w:r>
      <w:proofErr w:type="spellStart"/>
      <w:r w:rsidRPr="00C07F07">
        <w:rPr>
          <w:rFonts w:ascii="Times New Roman" w:hAnsi="Times New Roman" w:cs="Times New Roman"/>
          <w:lang w:val="en-GB"/>
        </w:rPr>
        <w:t>sur</w:t>
      </w:r>
      <w:proofErr w:type="spellEnd"/>
      <w:r w:rsidRPr="00C07F07">
        <w:rPr>
          <w:rFonts w:ascii="Times New Roman" w:hAnsi="Times New Roman" w:cs="Times New Roman"/>
          <w:lang w:val="en-GB"/>
        </w:rPr>
        <w:t xml:space="preserve"> </w:t>
      </w:r>
      <w:proofErr w:type="spellStart"/>
      <w:r w:rsidRPr="00C07F07">
        <w:rPr>
          <w:rFonts w:ascii="Times New Roman" w:hAnsi="Times New Roman" w:cs="Times New Roman"/>
          <w:lang w:val="en-GB"/>
        </w:rPr>
        <w:t>cette</w:t>
      </w:r>
      <w:proofErr w:type="spellEnd"/>
      <w:r w:rsidRPr="00C07F07">
        <w:rPr>
          <w:rFonts w:ascii="Times New Roman" w:hAnsi="Times New Roman" w:cs="Times New Roman"/>
          <w:lang w:val="en-GB"/>
        </w:rPr>
        <w:t xml:space="preserve"> </w:t>
      </w:r>
      <w:proofErr w:type="spellStart"/>
      <w:r w:rsidRPr="00C07F07">
        <w:rPr>
          <w:rFonts w:ascii="Times New Roman" w:hAnsi="Times New Roman" w:cs="Times New Roman"/>
          <w:lang w:val="en-GB"/>
        </w:rPr>
        <w:t>cour</w:t>
      </w:r>
      <w:proofErr w:type="spellEnd"/>
      <w:r>
        <w:rPr>
          <w:rFonts w:ascii="Times New Roman" w:hAnsi="Times New Roman" w:cs="Times New Roman"/>
          <w:lang w:val="en-GB"/>
        </w:rPr>
        <w:t>,</w:t>
      </w:r>
      <w:r w:rsidRPr="00C07F07">
        <w:rPr>
          <w:rFonts w:ascii="Times New Roman" w:hAnsi="Times New Roman" w:cs="Times New Roman"/>
          <w:lang w:val="en-GB"/>
        </w:rPr>
        <w:t xml:space="preserve"> W. Ben </w:t>
      </w:r>
      <w:proofErr w:type="spellStart"/>
      <w:r w:rsidRPr="00C07F07">
        <w:rPr>
          <w:rFonts w:ascii="Times New Roman" w:hAnsi="Times New Roman" w:cs="Times New Roman"/>
          <w:lang w:val="en-GB"/>
        </w:rPr>
        <w:t>Hamida</w:t>
      </w:r>
      <w:proofErr w:type="spellEnd"/>
      <w:r w:rsidRPr="00C07F07">
        <w:rPr>
          <w:rFonts w:ascii="Times New Roman" w:hAnsi="Times New Roman" w:cs="Times New Roman"/>
          <w:lang w:val="en-GB"/>
        </w:rPr>
        <w:t xml:space="preserve">, The first Arab investment court decision, </w:t>
      </w:r>
      <w:r w:rsidRPr="00C07F07">
        <w:rPr>
          <w:rFonts w:ascii="Times New Roman" w:hAnsi="Times New Roman" w:cs="Times New Roman"/>
          <w:i/>
          <w:iCs/>
          <w:lang w:val="en-GB"/>
        </w:rPr>
        <w:t>Journal of World Investment and Trade</w:t>
      </w:r>
      <w:r w:rsidRPr="00C07F07">
        <w:rPr>
          <w:rFonts w:ascii="Times New Roman" w:hAnsi="Times New Roman" w:cs="Times New Roman"/>
          <w:lang w:val="en-GB"/>
        </w:rPr>
        <w:t xml:space="preserve"> 2006, p. 699.</w:t>
      </w:r>
      <w:proofErr w:type="gramEnd"/>
    </w:p>
  </w:footnote>
  <w:footnote w:id="2">
    <w:p w:rsidR="005273ED" w:rsidRDefault="005273ED" w:rsidP="003A5A38">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La liste des TBI de </w:t>
      </w:r>
      <w:smartTag w:uri="urn:schemas-microsoft-com:office:smarttags" w:element="PersonName">
        <w:smartTagPr>
          <w:attr w:name="ProductID" w:val="La Tunisie"/>
        </w:smartTagPr>
        <w:r w:rsidRPr="00C07F07">
          <w:rPr>
            <w:rFonts w:ascii="Times New Roman" w:hAnsi="Times New Roman" w:cs="Times New Roman"/>
          </w:rPr>
          <w:t>la Tunisie</w:t>
        </w:r>
      </w:smartTag>
      <w:r w:rsidRPr="00C07F07">
        <w:rPr>
          <w:rFonts w:ascii="Times New Roman" w:hAnsi="Times New Roman" w:cs="Times New Roman"/>
        </w:rPr>
        <w:t xml:space="preserve"> est consultable sur le site de </w:t>
      </w:r>
      <w:smartTag w:uri="urn:schemas-microsoft-com:office:smarttags" w:element="PersonName">
        <w:smartTagPr>
          <w:attr w:name="ProductID" w:val="la CNUCED"/>
        </w:smartTagPr>
        <w:r w:rsidRPr="00C07F07">
          <w:rPr>
            <w:rFonts w:ascii="Times New Roman" w:hAnsi="Times New Roman" w:cs="Times New Roman"/>
          </w:rPr>
          <w:t>la CNUCED</w:t>
        </w:r>
      </w:smartTag>
      <w:r w:rsidRPr="00C07F07">
        <w:rPr>
          <w:rFonts w:ascii="Times New Roman" w:hAnsi="Times New Roman" w:cs="Times New Roman"/>
        </w:rPr>
        <w:t>, http://www.unctad.org/sections/dite_pcbb/docs/bits_tunisia.pdf</w:t>
      </w:r>
    </w:p>
  </w:footnote>
  <w:footnote w:id="3">
    <w:p w:rsidR="005273ED" w:rsidRDefault="005273ED" w:rsidP="003A5A38">
      <w:pPr>
        <w:pStyle w:val="Notedebasdepage"/>
        <w:jc w:val="both"/>
      </w:pPr>
      <w:r w:rsidRPr="00C07F07">
        <w:rPr>
          <w:rStyle w:val="Appelnotedebasdep"/>
          <w:rFonts w:ascii="Times New Roman" w:hAnsi="Times New Roman"/>
        </w:rPr>
        <w:footnoteRef/>
      </w:r>
      <w:r w:rsidRPr="00C07F07">
        <w:rPr>
          <w:rFonts w:ascii="Times New Roman" w:hAnsi="Times New Roman" w:cs="Times New Roman"/>
          <w:lang w:val="en-GB"/>
        </w:rPr>
        <w:t xml:space="preserve"> </w:t>
      </w:r>
      <w:r w:rsidRPr="00C07F07">
        <w:rPr>
          <w:rFonts w:ascii="Times New Roman" w:hAnsi="Times New Roman" w:cs="Times New Roman"/>
          <w:i/>
          <w:iCs/>
          <w:lang w:val="en-GB"/>
        </w:rPr>
        <w:t>ABCI Investments N.V c</w:t>
      </w:r>
      <w:proofErr w:type="gramStart"/>
      <w:r w:rsidRPr="00C07F07">
        <w:rPr>
          <w:rFonts w:ascii="Times New Roman" w:hAnsi="Times New Roman" w:cs="Times New Roman"/>
          <w:i/>
          <w:iCs/>
          <w:lang w:val="en-GB"/>
        </w:rPr>
        <w:t>./</w:t>
      </w:r>
      <w:proofErr w:type="gramEnd"/>
      <w:r w:rsidRPr="00C07F07">
        <w:rPr>
          <w:rFonts w:ascii="Times New Roman" w:hAnsi="Times New Roman" w:cs="Times New Roman"/>
          <w:i/>
          <w:iCs/>
          <w:lang w:val="en-GB"/>
        </w:rPr>
        <w:t xml:space="preserve"> </w:t>
      </w:r>
      <w:proofErr w:type="spellStart"/>
      <w:r w:rsidRPr="00C07F07">
        <w:rPr>
          <w:rFonts w:ascii="Times New Roman" w:hAnsi="Times New Roman" w:cs="Times New Roman"/>
          <w:i/>
          <w:iCs/>
          <w:lang w:val="en-GB"/>
        </w:rPr>
        <w:t>Tunisie</w:t>
      </w:r>
      <w:proofErr w:type="spellEnd"/>
      <w:r w:rsidRPr="00C07F07">
        <w:rPr>
          <w:rFonts w:ascii="Times New Roman" w:hAnsi="Times New Roman" w:cs="Times New Roman"/>
          <w:lang w:val="en-GB"/>
        </w:rPr>
        <w:t xml:space="preserve"> (ICSID Case No. </w:t>
      </w:r>
      <w:r w:rsidRPr="00C07F07">
        <w:rPr>
          <w:rFonts w:ascii="Times New Roman" w:hAnsi="Times New Roman" w:cs="Times New Roman"/>
        </w:rPr>
        <w:t xml:space="preserve">ARB/04/12), Décision sur la compétence rendue le 18 février 2011 avec opinion dissidente, non publiée, Voir sur cette décision, A. Ross and D. </w:t>
      </w:r>
      <w:proofErr w:type="spellStart"/>
      <w:r w:rsidRPr="00C07F07">
        <w:rPr>
          <w:rFonts w:ascii="Times New Roman" w:hAnsi="Times New Roman" w:cs="Times New Roman"/>
        </w:rPr>
        <w:t>Elward</w:t>
      </w:r>
      <w:proofErr w:type="spellEnd"/>
      <w:r w:rsidRPr="00C07F07">
        <w:rPr>
          <w:rFonts w:ascii="Times New Roman" w:hAnsi="Times New Roman" w:cs="Times New Roman"/>
        </w:rPr>
        <w:t xml:space="preserve">, Stern </w:t>
      </w:r>
      <w:proofErr w:type="spellStart"/>
      <w:r w:rsidRPr="00C07F07">
        <w:rPr>
          <w:rFonts w:ascii="Times New Roman" w:hAnsi="Times New Roman" w:cs="Times New Roman"/>
        </w:rPr>
        <w:t>dissents</w:t>
      </w:r>
      <w:proofErr w:type="spellEnd"/>
      <w:r w:rsidRPr="00C07F07">
        <w:rPr>
          <w:rFonts w:ascii="Times New Roman" w:hAnsi="Times New Roman" w:cs="Times New Roman"/>
        </w:rPr>
        <w:t xml:space="preserve"> in </w:t>
      </w:r>
      <w:proofErr w:type="spellStart"/>
      <w:r w:rsidRPr="00C07F07">
        <w:rPr>
          <w:rFonts w:ascii="Times New Roman" w:hAnsi="Times New Roman" w:cs="Times New Roman"/>
        </w:rPr>
        <w:t>Tunisian</w:t>
      </w:r>
      <w:proofErr w:type="spellEnd"/>
      <w:r w:rsidRPr="00C07F07">
        <w:rPr>
          <w:rFonts w:ascii="Times New Roman" w:hAnsi="Times New Roman" w:cs="Times New Roman"/>
        </w:rPr>
        <w:t xml:space="preserve"> </w:t>
      </w:r>
      <w:proofErr w:type="spellStart"/>
      <w:r w:rsidRPr="00C07F07">
        <w:rPr>
          <w:rFonts w:ascii="Times New Roman" w:hAnsi="Times New Roman" w:cs="Times New Roman"/>
        </w:rPr>
        <w:t>bank</w:t>
      </w:r>
      <w:proofErr w:type="spellEnd"/>
      <w:r w:rsidRPr="00C07F07">
        <w:rPr>
          <w:rFonts w:ascii="Times New Roman" w:hAnsi="Times New Roman" w:cs="Times New Roman"/>
        </w:rPr>
        <w:t xml:space="preserve"> dispute, </w:t>
      </w:r>
      <w:r w:rsidRPr="00C07F07">
        <w:rPr>
          <w:rFonts w:ascii="Times New Roman" w:hAnsi="Times New Roman" w:cs="Times New Roman"/>
          <w:i/>
          <w:iCs/>
        </w:rPr>
        <w:t xml:space="preserve">Global Arbitration </w:t>
      </w:r>
      <w:proofErr w:type="spellStart"/>
      <w:r w:rsidRPr="00C07F07">
        <w:rPr>
          <w:rFonts w:ascii="Times New Roman" w:hAnsi="Times New Roman" w:cs="Times New Roman"/>
          <w:i/>
          <w:iCs/>
        </w:rPr>
        <w:t>Review</w:t>
      </w:r>
      <w:proofErr w:type="spellEnd"/>
      <w:r w:rsidRPr="00C07F07">
        <w:rPr>
          <w:rFonts w:ascii="Times New Roman" w:hAnsi="Times New Roman" w:cs="Times New Roman"/>
        </w:rPr>
        <w:t>, 5 April 2011.</w:t>
      </w:r>
    </w:p>
  </w:footnote>
  <w:footnote w:id="4">
    <w:p w:rsidR="005273ED" w:rsidRDefault="005273ED" w:rsidP="003A5A38">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Voir sur la corruption, un rapport de l’ONU http://www.un.org/french/events/10thcongress/2088bf.htm</w:t>
      </w:r>
    </w:p>
  </w:footnote>
  <w:footnote w:id="5">
    <w:p w:rsidR="005273ED" w:rsidRDefault="005273ED" w:rsidP="003A5A38">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Voir le </w:t>
      </w:r>
      <w:r w:rsidRPr="00C07F07">
        <w:rPr>
          <w:rFonts w:ascii="Times New Roman" w:hAnsi="Times New Roman" w:cs="Times New Roman"/>
          <w:i/>
          <w:iCs/>
        </w:rPr>
        <w:t>Journal le Monde</w:t>
      </w:r>
      <w:r w:rsidRPr="00C07F07">
        <w:rPr>
          <w:rFonts w:ascii="Times New Roman" w:hAnsi="Times New Roman" w:cs="Times New Roman"/>
        </w:rPr>
        <w:t xml:space="preserve"> 14 juin 2011, </w:t>
      </w:r>
      <w:r w:rsidRPr="00C07F07">
        <w:rPr>
          <w:rStyle w:val="auteur"/>
          <w:rFonts w:ascii="Times New Roman" w:hAnsi="Times New Roman"/>
        </w:rPr>
        <w:t>H</w:t>
      </w:r>
      <w:r>
        <w:rPr>
          <w:rStyle w:val="auteur"/>
          <w:rFonts w:ascii="Times New Roman" w:hAnsi="Times New Roman"/>
        </w:rPr>
        <w:t>.</w:t>
      </w:r>
      <w:r w:rsidRPr="00C07F07">
        <w:rPr>
          <w:rStyle w:val="auteur"/>
          <w:rFonts w:ascii="Times New Roman" w:hAnsi="Times New Roman"/>
        </w:rPr>
        <w:t xml:space="preserve"> </w:t>
      </w:r>
      <w:proofErr w:type="spellStart"/>
      <w:r w:rsidRPr="00C07F07">
        <w:rPr>
          <w:rStyle w:val="auteur"/>
          <w:rFonts w:ascii="Times New Roman" w:hAnsi="Times New Roman"/>
        </w:rPr>
        <w:t>Sallon</w:t>
      </w:r>
      <w:proofErr w:type="spellEnd"/>
      <w:r w:rsidRPr="00C07F07">
        <w:rPr>
          <w:rStyle w:val="auteur"/>
          <w:rFonts w:ascii="Times New Roman" w:hAnsi="Times New Roman"/>
        </w:rPr>
        <w:t xml:space="preserve">, </w:t>
      </w:r>
      <w:r w:rsidRPr="00C07F07">
        <w:rPr>
          <w:rFonts w:ascii="Times New Roman" w:hAnsi="Times New Roman" w:cs="Times New Roman"/>
        </w:rPr>
        <w:t>Les investisseurs reprennent position dans la nouvelle Tunisie. L’article note qu’après une diminution de 25 % sur les quatre premiers mois de 2011, les investissements directs ont désormais le vent en poupe. Chez les Français, deux tendances s'observent. "Il y a ceux qui sont déjà en Tunisie, qui ont pleinement confiance et continuent à faire des extensions. Et ceux qui ont des projets d'investissement mais qui attendent les élections", analyse un conseiller de l'ambassade de France en Tunisie.</w:t>
      </w:r>
    </w:p>
  </w:footnote>
  <w:footnote w:id="6">
    <w:p w:rsidR="005273ED" w:rsidRDefault="005273ED" w:rsidP="0067511E">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Une quinzaine de demandes d’arbitrage ont été introduites contre l’Egypte en application des traités d’investissement en raison de la mise en cause des contrats conclus par le régime ancien.  </w:t>
      </w:r>
      <w:r w:rsidRPr="00CD4CC0">
        <w:rPr>
          <w:rFonts w:ascii="Times New Roman" w:hAnsi="Times New Roman" w:cs="Times New Roman"/>
          <w:lang w:val="en-US"/>
        </w:rPr>
        <w:t xml:space="preserve">Parmi les affaires médiatisées, on peut citer </w:t>
      </w:r>
      <w:r w:rsidRPr="00CD4CC0">
        <w:rPr>
          <w:rFonts w:ascii="Times New Roman" w:hAnsi="Times New Roman" w:cs="Times New Roman"/>
          <w:i/>
          <w:iCs/>
          <w:lang w:val="en-US"/>
        </w:rPr>
        <w:t>Hussain Sajwani, Damac Park Avenue for Real Estate Development S.A.E., and Damac Gamsha Bay for Development S.A.E. c./ Egypte</w:t>
      </w:r>
      <w:r w:rsidRPr="00CD4CC0">
        <w:rPr>
          <w:rFonts w:ascii="Times New Roman" w:hAnsi="Times New Roman" w:cs="Times New Roman"/>
          <w:lang w:val="en-US"/>
        </w:rPr>
        <w:t xml:space="preserve"> (ICSID Case No. </w:t>
      </w:r>
      <w:r w:rsidRPr="00C07F07">
        <w:rPr>
          <w:rFonts w:ascii="Times New Roman" w:hAnsi="Times New Roman" w:cs="Times New Roman"/>
          <w:lang w:val="en-GB"/>
        </w:rPr>
        <w:t xml:space="preserve">ARB/11/16), </w:t>
      </w:r>
      <w:proofErr w:type="spellStart"/>
      <w:r w:rsidRPr="00C07F07">
        <w:rPr>
          <w:rFonts w:ascii="Times New Roman" w:hAnsi="Times New Roman" w:cs="Times New Roman"/>
          <w:i/>
          <w:iCs/>
          <w:lang w:val="en-GB"/>
        </w:rPr>
        <w:t>Bawabet</w:t>
      </w:r>
      <w:proofErr w:type="spellEnd"/>
      <w:r w:rsidRPr="00C07F07">
        <w:rPr>
          <w:rFonts w:ascii="Times New Roman" w:hAnsi="Times New Roman" w:cs="Times New Roman"/>
          <w:i/>
          <w:iCs/>
          <w:lang w:val="en-GB"/>
        </w:rPr>
        <w:t xml:space="preserve"> Al </w:t>
      </w:r>
      <w:smartTag w:uri="urn:schemas-microsoft-com:office:smarttags" w:element="PersonName">
        <w:smartTagPr>
          <w:attr w:name="ProductID" w:val="la Cour"/>
        </w:smartTagPr>
        <w:r w:rsidRPr="00C07F07">
          <w:rPr>
            <w:rFonts w:ascii="Times New Roman" w:hAnsi="Times New Roman" w:cs="Times New Roman"/>
            <w:i/>
            <w:iCs/>
            <w:lang w:val="en-GB"/>
          </w:rPr>
          <w:t>Kuwait</w:t>
        </w:r>
      </w:smartTag>
      <w:r w:rsidRPr="00C07F07">
        <w:rPr>
          <w:rFonts w:ascii="Times New Roman" w:hAnsi="Times New Roman" w:cs="Times New Roman"/>
          <w:i/>
          <w:iCs/>
          <w:lang w:val="en-GB"/>
        </w:rPr>
        <w:t xml:space="preserve"> Holding Company c</w:t>
      </w:r>
      <w:proofErr w:type="gramStart"/>
      <w:r w:rsidRPr="00C07F07">
        <w:rPr>
          <w:rFonts w:ascii="Times New Roman" w:hAnsi="Times New Roman" w:cs="Times New Roman"/>
          <w:i/>
          <w:iCs/>
          <w:lang w:val="en-GB"/>
        </w:rPr>
        <w:t>./</w:t>
      </w:r>
      <w:proofErr w:type="gramEnd"/>
      <w:r w:rsidRPr="00C07F07">
        <w:rPr>
          <w:rFonts w:ascii="Times New Roman" w:hAnsi="Times New Roman" w:cs="Times New Roman"/>
          <w:i/>
          <w:iCs/>
          <w:lang w:val="en-GB"/>
        </w:rPr>
        <w:t xml:space="preserve"> </w:t>
      </w:r>
      <w:proofErr w:type="spellStart"/>
      <w:r w:rsidRPr="00C07F07">
        <w:rPr>
          <w:rFonts w:ascii="Times New Roman" w:hAnsi="Times New Roman" w:cs="Times New Roman"/>
          <w:i/>
          <w:iCs/>
          <w:lang w:val="en-GB"/>
        </w:rPr>
        <w:t>Egypte</w:t>
      </w:r>
      <w:proofErr w:type="spellEnd"/>
      <w:r w:rsidRPr="00C07F07">
        <w:rPr>
          <w:rFonts w:ascii="Times New Roman" w:hAnsi="Times New Roman" w:cs="Times New Roman"/>
          <w:i/>
          <w:iCs/>
          <w:lang w:val="en-GB"/>
        </w:rPr>
        <w:t xml:space="preserve"> </w:t>
      </w:r>
      <w:r w:rsidRPr="00C07F07">
        <w:rPr>
          <w:rFonts w:ascii="Times New Roman" w:hAnsi="Times New Roman" w:cs="Times New Roman"/>
          <w:lang w:val="en-GB"/>
        </w:rPr>
        <w:t xml:space="preserve">(ICSID Case No. ARB/11/6), </w:t>
      </w:r>
      <w:r w:rsidRPr="00C07F07">
        <w:rPr>
          <w:rFonts w:ascii="Times New Roman" w:hAnsi="Times New Roman" w:cs="Times New Roman"/>
          <w:i/>
          <w:iCs/>
          <w:lang w:val="en-GB"/>
        </w:rPr>
        <w:t>National Gas S.A.E. c</w:t>
      </w:r>
      <w:proofErr w:type="gramStart"/>
      <w:r w:rsidRPr="00C07F07">
        <w:rPr>
          <w:rFonts w:ascii="Times New Roman" w:hAnsi="Times New Roman" w:cs="Times New Roman"/>
          <w:i/>
          <w:iCs/>
          <w:lang w:val="en-GB"/>
        </w:rPr>
        <w:t>./</w:t>
      </w:r>
      <w:proofErr w:type="gramEnd"/>
      <w:r w:rsidRPr="00C07F07">
        <w:rPr>
          <w:rFonts w:ascii="Times New Roman" w:hAnsi="Times New Roman" w:cs="Times New Roman"/>
          <w:i/>
          <w:iCs/>
          <w:lang w:val="en-GB"/>
        </w:rPr>
        <w:t xml:space="preserve"> </w:t>
      </w:r>
      <w:proofErr w:type="spellStart"/>
      <w:r w:rsidRPr="00C07F07">
        <w:rPr>
          <w:rFonts w:ascii="Times New Roman" w:hAnsi="Times New Roman" w:cs="Times New Roman"/>
          <w:i/>
          <w:iCs/>
          <w:lang w:val="en-GB"/>
        </w:rPr>
        <w:t>Egypte</w:t>
      </w:r>
      <w:proofErr w:type="spellEnd"/>
      <w:r w:rsidRPr="00C07F07">
        <w:rPr>
          <w:rFonts w:ascii="Times New Roman" w:hAnsi="Times New Roman" w:cs="Times New Roman"/>
          <w:i/>
          <w:iCs/>
          <w:lang w:val="en-GB"/>
        </w:rPr>
        <w:t xml:space="preserve"> </w:t>
      </w:r>
      <w:r w:rsidRPr="00C07F07">
        <w:rPr>
          <w:rFonts w:ascii="Times New Roman" w:hAnsi="Times New Roman" w:cs="Times New Roman"/>
          <w:lang w:val="en-GB"/>
        </w:rPr>
        <w:t xml:space="preserve">(ICSID Case No. </w:t>
      </w:r>
      <w:r w:rsidRPr="00C07F07">
        <w:rPr>
          <w:rFonts w:ascii="Times New Roman" w:hAnsi="Times New Roman" w:cs="Times New Roman"/>
        </w:rPr>
        <w:t xml:space="preserve">ARB/11/7) et </w:t>
      </w:r>
      <w:proofErr w:type="spellStart"/>
      <w:r w:rsidRPr="00C07F07">
        <w:rPr>
          <w:rFonts w:ascii="Times New Roman" w:hAnsi="Times New Roman" w:cs="Times New Roman"/>
          <w:i/>
          <w:iCs/>
        </w:rPr>
        <w:t>Anwal</w:t>
      </w:r>
      <w:proofErr w:type="spellEnd"/>
      <w:r w:rsidRPr="00C07F07">
        <w:rPr>
          <w:rFonts w:ascii="Times New Roman" w:hAnsi="Times New Roman" w:cs="Times New Roman"/>
          <w:i/>
          <w:iCs/>
        </w:rPr>
        <w:t xml:space="preserve"> c</w:t>
      </w:r>
      <w:proofErr w:type="gramStart"/>
      <w:r w:rsidRPr="00C07F07">
        <w:rPr>
          <w:rFonts w:ascii="Times New Roman" w:hAnsi="Times New Roman" w:cs="Times New Roman"/>
          <w:i/>
          <w:iCs/>
        </w:rPr>
        <w:t>./</w:t>
      </w:r>
      <w:proofErr w:type="gramEnd"/>
      <w:r w:rsidRPr="00C07F07">
        <w:rPr>
          <w:rFonts w:ascii="Times New Roman" w:hAnsi="Times New Roman" w:cs="Times New Roman"/>
          <w:i/>
          <w:iCs/>
        </w:rPr>
        <w:t xml:space="preserve"> Egypte</w:t>
      </w:r>
      <w:r w:rsidRPr="00C07F07">
        <w:rPr>
          <w:rFonts w:ascii="Times New Roman" w:hAnsi="Times New Roman" w:cs="Times New Roman"/>
        </w:rPr>
        <w:t>.</w:t>
      </w:r>
    </w:p>
  </w:footnote>
  <w:footnote w:id="7">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w:t>
      </w:r>
      <w:r w:rsidRPr="00C07F07">
        <w:rPr>
          <w:rFonts w:ascii="Times New Roman" w:hAnsi="Times New Roman" w:cs="Times New Roman"/>
          <w:i/>
          <w:iCs/>
        </w:rPr>
        <w:t xml:space="preserve">Journal officiel de </w:t>
      </w:r>
      <w:smartTag w:uri="urn:schemas-microsoft-com:office:smarttags" w:element="PersonName">
        <w:smartTagPr>
          <w:attr w:name="ProductID" w:val="la Cour"/>
        </w:smartTagPr>
        <w:smartTag w:uri="urn:schemas-microsoft-com:office:smarttags" w:element="PersonName">
          <w:smartTagPr>
            <w:attr w:name="ProductID" w:val="la Cour"/>
          </w:smartTagPr>
          <w:r w:rsidRPr="00C07F07">
            <w:rPr>
              <w:rFonts w:ascii="Times New Roman" w:hAnsi="Times New Roman" w:cs="Times New Roman"/>
              <w:i/>
              <w:iCs/>
            </w:rPr>
            <w:t>la République</w:t>
          </w:r>
        </w:smartTag>
        <w:r w:rsidRPr="00C07F07">
          <w:rPr>
            <w:rFonts w:ascii="Times New Roman" w:hAnsi="Times New Roman" w:cs="Times New Roman"/>
            <w:i/>
            <w:iCs/>
          </w:rPr>
          <w:t xml:space="preserve"> Tunisienne</w:t>
        </w:r>
      </w:smartTag>
      <w:r w:rsidRPr="00C07F07">
        <w:rPr>
          <w:rFonts w:ascii="Times New Roman" w:hAnsi="Times New Roman" w:cs="Times New Roman"/>
          <w:i/>
          <w:iCs/>
        </w:rPr>
        <w:t xml:space="preserve"> (JORT)</w:t>
      </w:r>
      <w:r w:rsidRPr="00C07F07">
        <w:rPr>
          <w:rFonts w:ascii="Times New Roman" w:hAnsi="Times New Roman" w:cs="Times New Roman"/>
        </w:rPr>
        <w:t xml:space="preserve">, n°18 du 18 mars 2011. Un décret-loi n° 47 du 31 mai </w:t>
      </w:r>
      <w:smartTag w:uri="urn:schemas-microsoft-com:office:smarttags" w:element="PersonName">
        <w:smartTagPr>
          <w:attr w:name="ProductID" w:val="la Cour"/>
        </w:smartTagPr>
        <w:smartTag w:uri="urn:schemas-microsoft-com:office:smarttags" w:element="metricconverter">
          <w:smartTagPr>
            <w:attr w:name="ProductID" w:val="2011 a"/>
          </w:smartTagPr>
          <w:r w:rsidRPr="00C07F07">
            <w:rPr>
              <w:rFonts w:ascii="Times New Roman" w:hAnsi="Times New Roman" w:cs="Times New Roman"/>
            </w:rPr>
            <w:t>2011 a</w:t>
          </w:r>
        </w:smartTag>
      </w:smartTag>
      <w:r w:rsidRPr="00C07F07">
        <w:rPr>
          <w:rFonts w:ascii="Times New Roman" w:hAnsi="Times New Roman" w:cs="Times New Roman"/>
        </w:rPr>
        <w:t xml:space="preserve"> modifié et a corrigé certaines imperfections du décret loi n°13, </w:t>
      </w:r>
      <w:r w:rsidRPr="0067511E">
        <w:rPr>
          <w:rFonts w:ascii="Times New Roman" w:hAnsi="Times New Roman" w:cs="Times New Roman"/>
          <w:i/>
          <w:iCs/>
        </w:rPr>
        <w:t xml:space="preserve">JORT </w:t>
      </w:r>
      <w:r w:rsidRPr="00C07F07">
        <w:rPr>
          <w:rFonts w:ascii="Times New Roman" w:hAnsi="Times New Roman" w:cs="Times New Roman"/>
        </w:rPr>
        <w:t>n°39 du 31 mai 2011.</w:t>
      </w:r>
    </w:p>
  </w:footnote>
  <w:footnote w:id="8">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Sur les mesures de gel décidées à l’étranger, voir A. </w:t>
      </w:r>
      <w:proofErr w:type="spellStart"/>
      <w:r w:rsidRPr="00C07F07">
        <w:rPr>
          <w:rFonts w:ascii="Times New Roman" w:hAnsi="Times New Roman" w:cs="Times New Roman"/>
        </w:rPr>
        <w:t>Betteaib</w:t>
      </w:r>
      <w:proofErr w:type="spellEnd"/>
      <w:r w:rsidRPr="00C07F07">
        <w:rPr>
          <w:rFonts w:ascii="Times New Roman" w:hAnsi="Times New Roman" w:cs="Times New Roman"/>
        </w:rPr>
        <w:t xml:space="preserve">, Le gel des avoirs du clan Ben Ali en droit international, </w:t>
      </w:r>
      <w:r w:rsidRPr="00C07F07">
        <w:rPr>
          <w:rFonts w:ascii="Times New Roman" w:hAnsi="Times New Roman" w:cs="Times New Roman"/>
          <w:i/>
          <w:iCs/>
        </w:rPr>
        <w:t>Revue Infos Juridiques</w:t>
      </w:r>
      <w:r w:rsidRPr="00C07F07">
        <w:rPr>
          <w:rFonts w:ascii="Times New Roman" w:hAnsi="Times New Roman" w:cs="Times New Roman"/>
        </w:rPr>
        <w:t>, n° 108/09, mars 2011, p. 30.</w:t>
      </w:r>
    </w:p>
  </w:footnote>
  <w:footnote w:id="9">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T. Alvarado-</w:t>
      </w:r>
      <w:proofErr w:type="spellStart"/>
      <w:r w:rsidRPr="00C07F07">
        <w:rPr>
          <w:rFonts w:ascii="Times New Roman" w:hAnsi="Times New Roman" w:cs="Times New Roman"/>
        </w:rPr>
        <w:t>Garaioca</w:t>
      </w:r>
      <w:proofErr w:type="spellEnd"/>
      <w:r w:rsidRPr="00C07F07">
        <w:rPr>
          <w:rFonts w:ascii="Times New Roman" w:hAnsi="Times New Roman" w:cs="Times New Roman"/>
        </w:rPr>
        <w:t xml:space="preserve">, La responsabilité de l’Etat dans les guerres civiles, In </w:t>
      </w:r>
      <w:r w:rsidRPr="00C07F07">
        <w:rPr>
          <w:rFonts w:ascii="Times New Roman" w:hAnsi="Times New Roman" w:cs="Times New Roman"/>
          <w:i/>
        </w:rPr>
        <w:t xml:space="preserve">Mélanges offerts à Léon-Eli </w:t>
      </w:r>
      <w:proofErr w:type="spellStart"/>
      <w:r w:rsidRPr="00C07F07">
        <w:rPr>
          <w:rFonts w:ascii="Times New Roman" w:hAnsi="Times New Roman" w:cs="Times New Roman"/>
          <w:i/>
        </w:rPr>
        <w:t>Troclet</w:t>
      </w:r>
      <w:proofErr w:type="spellEnd"/>
      <w:r w:rsidRPr="00C07F07">
        <w:rPr>
          <w:rFonts w:ascii="Times New Roman" w:hAnsi="Times New Roman" w:cs="Times New Roman"/>
          <w:i/>
        </w:rPr>
        <w:t>, Droit social et international</w:t>
      </w:r>
      <w:r w:rsidRPr="00C07F07">
        <w:rPr>
          <w:rFonts w:ascii="Times New Roman" w:hAnsi="Times New Roman" w:cs="Times New Roman"/>
        </w:rPr>
        <w:t>, ULB 1967, p. 43.</w:t>
      </w:r>
    </w:p>
  </w:footnote>
  <w:footnote w:id="10">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Pour un examen plus détaillé de ces clauses, voir W. Ben </w:t>
      </w:r>
      <w:proofErr w:type="spellStart"/>
      <w:r w:rsidRPr="00C07F07">
        <w:rPr>
          <w:rFonts w:ascii="Times New Roman" w:hAnsi="Times New Roman" w:cs="Times New Roman"/>
        </w:rPr>
        <w:t>Hamida</w:t>
      </w:r>
      <w:proofErr w:type="spellEnd"/>
      <w:r w:rsidRPr="00C07F07">
        <w:rPr>
          <w:rFonts w:ascii="Times New Roman" w:hAnsi="Times New Roman" w:cs="Times New Roman"/>
        </w:rPr>
        <w:t xml:space="preserve">, </w:t>
      </w:r>
      <w:r w:rsidRPr="00C07F07">
        <w:rPr>
          <w:rFonts w:ascii="Times New Roman" w:hAnsi="Times New Roman" w:cs="Times New Roman"/>
          <w:i/>
          <w:iCs/>
        </w:rPr>
        <w:t>L’arbitrage transnational unilatéral. Réflexions sur une procédure réservée à l’initiative d’une personne privée contre une personne publique</w:t>
      </w:r>
      <w:r w:rsidRPr="00C07F07">
        <w:rPr>
          <w:rFonts w:ascii="Times New Roman" w:hAnsi="Times New Roman" w:cs="Times New Roman"/>
        </w:rPr>
        <w:t xml:space="preserve">, thèse de doctorat, Université de Paris II, sous la direction de Ph. </w:t>
      </w:r>
      <w:proofErr w:type="spellStart"/>
      <w:r w:rsidRPr="00C07F07">
        <w:rPr>
          <w:rFonts w:ascii="Times New Roman" w:hAnsi="Times New Roman" w:cs="Times New Roman"/>
        </w:rPr>
        <w:t>Fouchard</w:t>
      </w:r>
      <w:proofErr w:type="spellEnd"/>
      <w:r w:rsidRPr="00C07F07">
        <w:rPr>
          <w:rFonts w:ascii="Times New Roman" w:hAnsi="Times New Roman" w:cs="Times New Roman"/>
        </w:rPr>
        <w:t xml:space="preserve">, 2003, p. 568 et s. </w:t>
      </w:r>
    </w:p>
  </w:footnote>
  <w:footnote w:id="11">
    <w:p w:rsidR="005273ED" w:rsidRDefault="005273ED" w:rsidP="00C07F07">
      <w:pPr>
        <w:pStyle w:val="Notedebasdepage"/>
        <w:jc w:val="both"/>
      </w:pPr>
      <w:r w:rsidRPr="001551E0">
        <w:rPr>
          <w:rStyle w:val="Appelnotedebasdep"/>
          <w:rFonts w:ascii="Times New Roman" w:hAnsi="Times New Roman"/>
        </w:rPr>
        <w:footnoteRef/>
      </w:r>
      <w:r w:rsidRPr="001551E0">
        <w:rPr>
          <w:rFonts w:ascii="Times New Roman" w:hAnsi="Times New Roman" w:cs="Times New Roman"/>
        </w:rPr>
        <w:t xml:space="preserve"> Article 6, Traité disponible sur le site http://untreaty.un.org/unts/144078_158780/3/5/11619.pdf</w:t>
      </w:r>
    </w:p>
  </w:footnote>
  <w:footnote w:id="12">
    <w:p w:rsidR="005273ED" w:rsidRDefault="005273ED" w:rsidP="00C07F07">
      <w:pPr>
        <w:pStyle w:val="Notedebasdepage"/>
        <w:jc w:val="both"/>
      </w:pPr>
      <w:r w:rsidRPr="001551E0">
        <w:rPr>
          <w:rStyle w:val="Appelnotedebasdep"/>
          <w:rFonts w:ascii="Times New Roman" w:hAnsi="Times New Roman"/>
        </w:rPr>
        <w:footnoteRef/>
      </w:r>
      <w:r w:rsidRPr="001551E0">
        <w:rPr>
          <w:rFonts w:ascii="Times New Roman" w:hAnsi="Times New Roman" w:cs="Times New Roman"/>
        </w:rPr>
        <w:t xml:space="preserve"> http://fothman.free.fr/Accbitxt/Eco/tn_eco/tneco201097acc/tneco201097acc.html</w:t>
      </w:r>
    </w:p>
  </w:footnote>
  <w:footnote w:id="13">
    <w:p w:rsidR="005273ED" w:rsidRDefault="005273ED" w:rsidP="00C07F07">
      <w:pPr>
        <w:pStyle w:val="Notedebasdepage"/>
        <w:jc w:val="both"/>
      </w:pPr>
      <w:r w:rsidRPr="001551E0">
        <w:rPr>
          <w:rStyle w:val="Appelnotedebasdep"/>
          <w:rFonts w:ascii="Times New Roman" w:hAnsi="Times New Roman"/>
        </w:rPr>
        <w:footnoteRef/>
      </w:r>
      <w:r w:rsidRPr="001551E0">
        <w:rPr>
          <w:rFonts w:ascii="Times New Roman" w:hAnsi="Times New Roman" w:cs="Times New Roman"/>
        </w:rPr>
        <w:t xml:space="preserve"> Voir par exemple l’article 5 du TBI entre la Tunisie et la Roumanie de 1995.</w:t>
      </w:r>
    </w:p>
  </w:footnote>
  <w:footnote w:id="14">
    <w:p w:rsidR="005273ED" w:rsidRPr="00CD4CC0" w:rsidRDefault="005273ED" w:rsidP="001551E0">
      <w:pPr>
        <w:pStyle w:val="Notedebasdepage"/>
        <w:jc w:val="both"/>
        <w:rPr>
          <w:lang w:val="en-US"/>
        </w:rPr>
      </w:pPr>
      <w:r w:rsidRPr="001551E0">
        <w:rPr>
          <w:rStyle w:val="Appelnotedebasdep"/>
          <w:rFonts w:ascii="Times New Roman" w:hAnsi="Times New Roman"/>
        </w:rPr>
        <w:footnoteRef/>
      </w:r>
      <w:r w:rsidRPr="001551E0">
        <w:rPr>
          <w:rFonts w:ascii="Times New Roman" w:hAnsi="Times New Roman" w:cs="Times New Roman"/>
          <w:lang w:val="en-GB"/>
        </w:rPr>
        <w:t xml:space="preserve"> </w:t>
      </w:r>
      <w:proofErr w:type="spellStart"/>
      <w:r w:rsidRPr="001551E0">
        <w:rPr>
          <w:rFonts w:ascii="Times New Roman" w:hAnsi="Times New Roman" w:cs="Times New Roman"/>
          <w:lang w:val="en-GB"/>
        </w:rPr>
        <w:t>Dans</w:t>
      </w:r>
      <w:proofErr w:type="spellEnd"/>
      <w:r w:rsidRPr="001551E0">
        <w:rPr>
          <w:rFonts w:ascii="Times New Roman" w:hAnsi="Times New Roman" w:cs="Times New Roman"/>
          <w:lang w:val="en-GB"/>
        </w:rPr>
        <w:t xml:space="preserve"> la sentence </w:t>
      </w:r>
      <w:r w:rsidRPr="001551E0">
        <w:rPr>
          <w:rFonts w:ascii="Times New Roman" w:hAnsi="Times New Roman" w:cs="Times New Roman"/>
          <w:i/>
          <w:iCs/>
          <w:lang w:val="en-GB"/>
        </w:rPr>
        <w:t>CMS c</w:t>
      </w:r>
      <w:proofErr w:type="gramStart"/>
      <w:r w:rsidRPr="001551E0">
        <w:rPr>
          <w:rFonts w:ascii="Times New Roman" w:hAnsi="Times New Roman" w:cs="Times New Roman"/>
          <w:i/>
          <w:iCs/>
          <w:lang w:val="en-GB"/>
        </w:rPr>
        <w:t>./</w:t>
      </w:r>
      <w:proofErr w:type="gramEnd"/>
      <w:r w:rsidRPr="001551E0">
        <w:rPr>
          <w:rFonts w:ascii="Times New Roman" w:hAnsi="Times New Roman" w:cs="Times New Roman"/>
          <w:i/>
          <w:iCs/>
          <w:lang w:val="en-GB"/>
        </w:rPr>
        <w:t xml:space="preserve"> Argentine</w:t>
      </w:r>
      <w:r w:rsidRPr="001551E0">
        <w:rPr>
          <w:rFonts w:ascii="Times New Roman" w:hAnsi="Times New Roman" w:cs="Times New Roman"/>
          <w:lang w:val="en-GB"/>
        </w:rPr>
        <w:t xml:space="preserve">, (ICSID Case No. ARB/01/8), 12 </w:t>
      </w:r>
      <w:proofErr w:type="spellStart"/>
      <w:r w:rsidRPr="001551E0">
        <w:rPr>
          <w:rFonts w:ascii="Times New Roman" w:hAnsi="Times New Roman" w:cs="Times New Roman"/>
          <w:lang w:val="en-GB"/>
        </w:rPr>
        <w:t>mai</w:t>
      </w:r>
      <w:proofErr w:type="spellEnd"/>
      <w:r w:rsidRPr="001551E0">
        <w:rPr>
          <w:rFonts w:ascii="Times New Roman" w:hAnsi="Times New Roman" w:cs="Times New Roman"/>
          <w:lang w:val="en-GB"/>
        </w:rPr>
        <w:t xml:space="preserve"> 2005, le tribunal arbitral a </w:t>
      </w:r>
      <w:proofErr w:type="spellStart"/>
      <w:r w:rsidRPr="001551E0">
        <w:rPr>
          <w:rFonts w:ascii="Times New Roman" w:hAnsi="Times New Roman" w:cs="Times New Roman"/>
          <w:lang w:val="en-GB"/>
        </w:rPr>
        <w:t>interprété</w:t>
      </w:r>
      <w:proofErr w:type="spellEnd"/>
      <w:r w:rsidRPr="001551E0">
        <w:rPr>
          <w:rFonts w:ascii="Times New Roman" w:hAnsi="Times New Roman" w:cs="Times New Roman"/>
          <w:lang w:val="en-GB"/>
        </w:rPr>
        <w:t xml:space="preserve"> </w:t>
      </w:r>
      <w:proofErr w:type="spellStart"/>
      <w:r w:rsidRPr="001551E0">
        <w:rPr>
          <w:rFonts w:ascii="Times New Roman" w:hAnsi="Times New Roman" w:cs="Times New Roman"/>
          <w:lang w:val="en-GB"/>
        </w:rPr>
        <w:t>une</w:t>
      </w:r>
      <w:proofErr w:type="spellEnd"/>
      <w:r w:rsidRPr="001551E0">
        <w:rPr>
          <w:rFonts w:ascii="Times New Roman" w:hAnsi="Times New Roman" w:cs="Times New Roman"/>
          <w:lang w:val="en-GB"/>
        </w:rPr>
        <w:t xml:space="preserve"> clause </w:t>
      </w:r>
      <w:proofErr w:type="spellStart"/>
      <w:r w:rsidRPr="001551E0">
        <w:rPr>
          <w:rFonts w:ascii="Times New Roman" w:hAnsi="Times New Roman" w:cs="Times New Roman"/>
          <w:lang w:val="en-GB"/>
        </w:rPr>
        <w:t>pareille</w:t>
      </w:r>
      <w:proofErr w:type="spellEnd"/>
      <w:r w:rsidRPr="001551E0">
        <w:rPr>
          <w:rFonts w:ascii="Times New Roman" w:hAnsi="Times New Roman" w:cs="Times New Roman"/>
          <w:lang w:val="en-GB"/>
        </w:rPr>
        <w:t xml:space="preserve"> </w:t>
      </w:r>
      <w:proofErr w:type="spellStart"/>
      <w:r w:rsidRPr="001551E0">
        <w:rPr>
          <w:rFonts w:ascii="Times New Roman" w:hAnsi="Times New Roman" w:cs="Times New Roman"/>
          <w:lang w:val="en-GB"/>
        </w:rPr>
        <w:t>ainsi</w:t>
      </w:r>
      <w:proofErr w:type="spellEnd"/>
      <w:r w:rsidRPr="001551E0">
        <w:rPr>
          <w:rFonts w:ascii="Times New Roman" w:hAnsi="Times New Roman" w:cs="Times New Roman"/>
          <w:lang w:val="en-GB"/>
        </w:rPr>
        <w:t xml:space="preserve"> : «</w:t>
      </w:r>
      <w:r w:rsidRPr="001551E0">
        <w:rPr>
          <w:rFonts w:ascii="Times New Roman" w:hAnsi="Times New Roman" w:cs="Times New Roman"/>
          <w:i/>
          <w:iCs/>
          <w:lang w:val="en-GB"/>
        </w:rPr>
        <w:t>The plain meaning of the Article is to provide a floor treatment for the investor in the context of the measures adopted in respect of the losses suffered in the emergency, not different from that applied to nationals or other foreign investors. The Article does not derogate from the Treaty rights but rather ensures that any measures directed at offsetting or minimizing losses will be applied in a non-discriminatory manner</w:t>
      </w:r>
      <w:r w:rsidRPr="001551E0">
        <w:rPr>
          <w:rFonts w:ascii="Times New Roman" w:hAnsi="Times New Roman" w:cs="Times New Roman"/>
          <w:lang w:val="en-US"/>
        </w:rPr>
        <w:t>», § 375.</w:t>
      </w:r>
    </w:p>
  </w:footnote>
  <w:footnote w:id="15">
    <w:p w:rsidR="005273ED" w:rsidRPr="00CD4CC0" w:rsidRDefault="005273ED" w:rsidP="001551E0">
      <w:pPr>
        <w:pStyle w:val="Notedebasdepage"/>
        <w:jc w:val="both"/>
        <w:rPr>
          <w:lang w:val="en-US"/>
        </w:rPr>
      </w:pPr>
      <w:r w:rsidRPr="001551E0">
        <w:rPr>
          <w:rStyle w:val="Appelnotedebasdep"/>
          <w:rFonts w:ascii="Times New Roman" w:hAnsi="Times New Roman"/>
        </w:rPr>
        <w:footnoteRef/>
      </w:r>
      <w:r w:rsidRPr="001551E0">
        <w:rPr>
          <w:rFonts w:ascii="Times New Roman" w:hAnsi="Times New Roman" w:cs="Times New Roman"/>
          <w:lang w:val="en-US"/>
        </w:rPr>
        <w:t xml:space="preserve"> </w:t>
      </w:r>
      <w:proofErr w:type="gramStart"/>
      <w:r w:rsidRPr="001551E0">
        <w:rPr>
          <w:rFonts w:ascii="Times New Roman" w:hAnsi="Times New Roman" w:cs="Times New Roman"/>
          <w:lang w:val="en-US"/>
        </w:rPr>
        <w:t xml:space="preserve">UNCTAD, </w:t>
      </w:r>
      <w:r w:rsidRPr="001551E0">
        <w:rPr>
          <w:rFonts w:ascii="Times New Roman" w:hAnsi="Times New Roman" w:cs="Times New Roman"/>
          <w:i/>
          <w:lang w:val="en-US"/>
        </w:rPr>
        <w:t>Bilateral investment treaties in the mid-1990s</w:t>
      </w:r>
      <w:r w:rsidRPr="001551E0">
        <w:rPr>
          <w:rFonts w:ascii="Times New Roman" w:hAnsi="Times New Roman" w:cs="Times New Roman"/>
          <w:lang w:val="en-US"/>
        </w:rPr>
        <w:t>, 1998, p. 72.</w:t>
      </w:r>
      <w:proofErr w:type="gramEnd"/>
      <w:r w:rsidRPr="001551E0">
        <w:rPr>
          <w:rFonts w:ascii="Times New Roman" w:hAnsi="Times New Roman" w:cs="Times New Roman"/>
          <w:lang w:val="en-US"/>
        </w:rPr>
        <w:t xml:space="preserve"> </w:t>
      </w:r>
    </w:p>
  </w:footnote>
  <w:footnote w:id="16">
    <w:p w:rsidR="005273ED" w:rsidRDefault="005273ED" w:rsidP="00634145">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En revanche, certains TBI conclus par les Etats-Unis omettent la condition de la nécessité et se contentent d’exiger que la destruction soit le fait des forces </w:t>
      </w:r>
      <w:r>
        <w:rPr>
          <w:rFonts w:ascii="Times New Roman" w:hAnsi="Times New Roman" w:cs="Times New Roman"/>
        </w:rPr>
        <w:t>et des autorités</w:t>
      </w:r>
      <w:r w:rsidRPr="00C07F07">
        <w:rPr>
          <w:rFonts w:ascii="Times New Roman" w:hAnsi="Times New Roman" w:cs="Times New Roman"/>
        </w:rPr>
        <w:t xml:space="preserve"> et qu’elle n’ait pas été occasionnée par une action de combat. Ainsi</w:t>
      </w:r>
      <w:r>
        <w:rPr>
          <w:rFonts w:ascii="Times New Roman" w:hAnsi="Times New Roman" w:cs="Times New Roman"/>
        </w:rPr>
        <w:t>,</w:t>
      </w:r>
      <w:r w:rsidRPr="00C07F07">
        <w:rPr>
          <w:rFonts w:ascii="Times New Roman" w:hAnsi="Times New Roman" w:cs="Times New Roman"/>
        </w:rPr>
        <w:t xml:space="preserve"> l’article IV(2) (b) du TBI Etats-Unis-Zaïre (1984) oblige l’Etat à accorder à l’investisseur une indemnisation selon les standards de l’expropriation en cas de «</w:t>
      </w:r>
      <w:r w:rsidRPr="00C07F07">
        <w:rPr>
          <w:rFonts w:ascii="Times New Roman" w:hAnsi="Times New Roman" w:cs="Times New Roman"/>
          <w:i/>
          <w:lang w:val="fr-BE"/>
        </w:rPr>
        <w:t xml:space="preserve">destruction of </w:t>
      </w:r>
      <w:proofErr w:type="spellStart"/>
      <w:r w:rsidRPr="00C07F07">
        <w:rPr>
          <w:rFonts w:ascii="Times New Roman" w:hAnsi="Times New Roman" w:cs="Times New Roman"/>
          <w:i/>
          <w:lang w:val="fr-BE"/>
        </w:rPr>
        <w:t>property</w:t>
      </w:r>
      <w:proofErr w:type="spellEnd"/>
      <w:r w:rsidRPr="00C07F07">
        <w:rPr>
          <w:rFonts w:ascii="Times New Roman" w:hAnsi="Times New Roman" w:cs="Times New Roman"/>
          <w:i/>
          <w:lang w:val="fr-BE"/>
        </w:rPr>
        <w:t xml:space="preserve"> by the </w:t>
      </w:r>
      <w:proofErr w:type="spellStart"/>
      <w:r w:rsidRPr="00C07F07">
        <w:rPr>
          <w:rFonts w:ascii="Times New Roman" w:hAnsi="Times New Roman" w:cs="Times New Roman"/>
          <w:i/>
          <w:lang w:val="fr-BE"/>
        </w:rPr>
        <w:t>other</w:t>
      </w:r>
      <w:proofErr w:type="spellEnd"/>
      <w:r w:rsidRPr="00C07F07">
        <w:rPr>
          <w:rFonts w:ascii="Times New Roman" w:hAnsi="Times New Roman" w:cs="Times New Roman"/>
          <w:i/>
          <w:lang w:val="fr-BE"/>
        </w:rPr>
        <w:t xml:space="preserve"> </w:t>
      </w:r>
      <w:proofErr w:type="spellStart"/>
      <w:r w:rsidRPr="00C07F07">
        <w:rPr>
          <w:rFonts w:ascii="Times New Roman" w:hAnsi="Times New Roman" w:cs="Times New Roman"/>
          <w:i/>
          <w:lang w:val="fr-BE"/>
        </w:rPr>
        <w:t>Party’s</w:t>
      </w:r>
      <w:proofErr w:type="spellEnd"/>
      <w:r w:rsidRPr="00C07F07">
        <w:rPr>
          <w:rFonts w:ascii="Times New Roman" w:hAnsi="Times New Roman" w:cs="Times New Roman"/>
          <w:i/>
          <w:lang w:val="fr-BE"/>
        </w:rPr>
        <w:t xml:space="preserve"> forces of </w:t>
      </w:r>
      <w:proofErr w:type="spellStart"/>
      <w:r w:rsidRPr="00C07F07">
        <w:rPr>
          <w:rFonts w:ascii="Times New Roman" w:hAnsi="Times New Roman" w:cs="Times New Roman"/>
          <w:i/>
          <w:lang w:val="fr-BE"/>
        </w:rPr>
        <w:t>authorities</w:t>
      </w:r>
      <w:proofErr w:type="spellEnd"/>
      <w:r w:rsidRPr="00C07F07">
        <w:rPr>
          <w:rFonts w:ascii="Times New Roman" w:hAnsi="Times New Roman" w:cs="Times New Roman"/>
          <w:i/>
          <w:lang w:val="fr-BE"/>
        </w:rPr>
        <w:t xml:space="preserve"> </w:t>
      </w:r>
      <w:proofErr w:type="spellStart"/>
      <w:r w:rsidRPr="00C07F07">
        <w:rPr>
          <w:rFonts w:ascii="Times New Roman" w:hAnsi="Times New Roman" w:cs="Times New Roman"/>
          <w:i/>
          <w:lang w:val="fr-BE"/>
        </w:rPr>
        <w:t>which</w:t>
      </w:r>
      <w:proofErr w:type="spellEnd"/>
      <w:r w:rsidRPr="00C07F07">
        <w:rPr>
          <w:rFonts w:ascii="Times New Roman" w:hAnsi="Times New Roman" w:cs="Times New Roman"/>
          <w:i/>
          <w:lang w:val="fr-BE"/>
        </w:rPr>
        <w:t xml:space="preserve"> </w:t>
      </w:r>
      <w:proofErr w:type="spellStart"/>
      <w:r w:rsidRPr="00C07F07">
        <w:rPr>
          <w:rFonts w:ascii="Times New Roman" w:hAnsi="Times New Roman" w:cs="Times New Roman"/>
          <w:i/>
          <w:lang w:val="fr-BE"/>
        </w:rPr>
        <w:t>was</w:t>
      </w:r>
      <w:proofErr w:type="spellEnd"/>
      <w:r w:rsidRPr="00C07F07">
        <w:rPr>
          <w:rFonts w:ascii="Times New Roman" w:hAnsi="Times New Roman" w:cs="Times New Roman"/>
          <w:i/>
          <w:lang w:val="fr-BE"/>
        </w:rPr>
        <w:t xml:space="preserve"> not </w:t>
      </w:r>
      <w:proofErr w:type="spellStart"/>
      <w:r w:rsidRPr="00C07F07">
        <w:rPr>
          <w:rFonts w:ascii="Times New Roman" w:hAnsi="Times New Roman" w:cs="Times New Roman"/>
          <w:i/>
          <w:lang w:val="fr-BE"/>
        </w:rPr>
        <w:t>caused</w:t>
      </w:r>
      <w:proofErr w:type="spellEnd"/>
      <w:r w:rsidRPr="00C07F07">
        <w:rPr>
          <w:rFonts w:ascii="Times New Roman" w:hAnsi="Times New Roman" w:cs="Times New Roman"/>
          <w:i/>
          <w:lang w:val="fr-BE"/>
        </w:rPr>
        <w:t xml:space="preserve"> in combat action</w:t>
      </w:r>
      <w:r w:rsidRPr="00C07F07">
        <w:rPr>
          <w:rFonts w:ascii="Times New Roman" w:hAnsi="Times New Roman" w:cs="Times New Roman"/>
        </w:rPr>
        <w:t> ».</w:t>
      </w:r>
    </w:p>
  </w:footnote>
  <w:footnote w:id="17">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w:t>
      </w:r>
      <w:r w:rsidRPr="00C07F07">
        <w:rPr>
          <w:rFonts w:ascii="Times New Roman" w:hAnsi="Times New Roman" w:cs="Times New Roman"/>
          <w:i/>
          <w:iCs/>
        </w:rPr>
        <w:t>JORT</w:t>
      </w:r>
      <w:r w:rsidRPr="00C07F07">
        <w:rPr>
          <w:rFonts w:ascii="Times New Roman" w:hAnsi="Times New Roman" w:cs="Times New Roman"/>
        </w:rPr>
        <w:t xml:space="preserve"> n° 36 du 20 mai 2011. </w:t>
      </w:r>
    </w:p>
  </w:footnote>
  <w:footnote w:id="18">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w:t>
      </w:r>
      <w:r w:rsidRPr="00C07F07">
        <w:rPr>
          <w:rFonts w:ascii="Times New Roman" w:hAnsi="Times New Roman" w:cs="Times New Roman"/>
          <w:i/>
          <w:iCs/>
        </w:rPr>
        <w:t xml:space="preserve">JORT </w:t>
      </w:r>
      <w:r w:rsidRPr="00C07F07">
        <w:rPr>
          <w:rFonts w:ascii="Times New Roman" w:hAnsi="Times New Roman" w:cs="Times New Roman"/>
        </w:rPr>
        <w:t>n° 47 du 28 juin 2011.</w:t>
      </w:r>
    </w:p>
  </w:footnote>
  <w:footnote w:id="19">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JORT n°27 du 19 avril 2011</w:t>
      </w:r>
    </w:p>
  </w:footnote>
  <w:footnote w:id="20">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Il s’agit d’entreprise au sens de la loi n° 2009-69 du 12 août 2009 relative au commerce de distribution</w:t>
      </w:r>
      <w:r>
        <w:rPr>
          <w:rFonts w:ascii="Times New Roman" w:hAnsi="Times New Roman" w:cs="Times New Roman"/>
        </w:rPr>
        <w:t>.</w:t>
      </w:r>
    </w:p>
  </w:footnote>
  <w:footnote w:id="21">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Il s’agit d’entreprise au sens de la loi n° 2005-15 du 16 février 2005 relative à l'organisation du secteur des métiers</w:t>
      </w:r>
      <w:r>
        <w:rPr>
          <w:rFonts w:ascii="Times New Roman" w:hAnsi="Times New Roman" w:cs="Times New Roman"/>
        </w:rPr>
        <w:t>.</w:t>
      </w:r>
    </w:p>
  </w:footnote>
  <w:footnote w:id="22">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Le terme « ou » figure dans la version arabe qui fait foi mais ne figure pas dans la version française</w:t>
      </w:r>
    </w:p>
  </w:footnote>
  <w:footnote w:id="23">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w:t>
      </w:r>
      <w:r w:rsidRPr="00C07F07">
        <w:rPr>
          <w:rFonts w:ascii="Times New Roman" w:hAnsi="Times New Roman" w:cs="Times New Roman"/>
          <w:i/>
          <w:iCs/>
        </w:rPr>
        <w:t>JORT</w:t>
      </w:r>
      <w:r w:rsidRPr="00C07F07">
        <w:rPr>
          <w:rFonts w:ascii="Times New Roman" w:hAnsi="Times New Roman" w:cs="Times New Roman"/>
        </w:rPr>
        <w:t xml:space="preserve"> n°42 du 10 juin 2011.</w:t>
      </w:r>
    </w:p>
  </w:footnote>
  <w:footnote w:id="24">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Voir ; par exemple l’article 2 (2) du TBI Tunisie-République Tchèque de 1997, et l’article 4 du TBI de 1985 avec l’Italie qui exige de chaque partie d’accorder une « protection adéquate » aux investissements</w:t>
      </w:r>
    </w:p>
  </w:footnote>
  <w:footnote w:id="25">
    <w:p w:rsidR="005273ED" w:rsidRDefault="005273ED" w:rsidP="00C07F07">
      <w:pPr>
        <w:pStyle w:val="Notedebasdepage"/>
        <w:jc w:val="both"/>
      </w:pPr>
      <w:r w:rsidRPr="00C07F07">
        <w:rPr>
          <w:rFonts w:ascii="Times New Roman" w:hAnsi="Times New Roman" w:cs="Times New Roman"/>
        </w:rPr>
        <w:t xml:space="preserve"> </w:t>
      </w:r>
      <w:r w:rsidRPr="00C07F07">
        <w:rPr>
          <w:rStyle w:val="Appelnotedebasdep"/>
          <w:rFonts w:ascii="Times New Roman" w:hAnsi="Times New Roman"/>
        </w:rPr>
        <w:footnoteRef/>
      </w:r>
      <w:r w:rsidRPr="00C07F07">
        <w:rPr>
          <w:rFonts w:ascii="Times New Roman" w:hAnsi="Times New Roman" w:cs="Times New Roman"/>
        </w:rPr>
        <w:t xml:space="preserve"> K. </w:t>
      </w:r>
      <w:proofErr w:type="spellStart"/>
      <w:r w:rsidRPr="00C07F07">
        <w:rPr>
          <w:rFonts w:ascii="Times New Roman" w:hAnsi="Times New Roman" w:cs="Times New Roman"/>
        </w:rPr>
        <w:t>Meziou</w:t>
      </w:r>
      <w:proofErr w:type="spellEnd"/>
      <w:r w:rsidRPr="00C07F07">
        <w:rPr>
          <w:rFonts w:ascii="Times New Roman" w:hAnsi="Times New Roman" w:cs="Times New Roman"/>
        </w:rPr>
        <w:t xml:space="preserve"> et A. </w:t>
      </w:r>
      <w:proofErr w:type="spellStart"/>
      <w:r w:rsidRPr="00C07F07">
        <w:rPr>
          <w:rFonts w:ascii="Times New Roman" w:hAnsi="Times New Roman" w:cs="Times New Roman"/>
        </w:rPr>
        <w:t>Mezghani</w:t>
      </w:r>
      <w:proofErr w:type="spellEnd"/>
      <w:r w:rsidRPr="00C07F07">
        <w:rPr>
          <w:rFonts w:ascii="Times New Roman" w:hAnsi="Times New Roman" w:cs="Times New Roman"/>
        </w:rPr>
        <w:t xml:space="preserve">, Le Code tunisien de l'arbitrage, </w:t>
      </w:r>
      <w:r w:rsidRPr="00C07F07">
        <w:rPr>
          <w:rFonts w:ascii="Times New Roman" w:hAnsi="Times New Roman" w:cs="Times New Roman"/>
          <w:i/>
          <w:iCs/>
        </w:rPr>
        <w:t>Revue de l'arbitrage</w:t>
      </w:r>
      <w:r w:rsidRPr="00C07F07">
        <w:rPr>
          <w:rFonts w:ascii="Times New Roman" w:hAnsi="Times New Roman" w:cs="Times New Roman"/>
        </w:rPr>
        <w:t xml:space="preserve"> 1993, p. 521.</w:t>
      </w:r>
    </w:p>
  </w:footnote>
  <w:footnote w:id="26">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w:t>
      </w:r>
      <w:r w:rsidRPr="0090042A">
        <w:rPr>
          <w:rFonts w:ascii="Times New Roman" w:hAnsi="Times New Roman" w:cs="Times New Roman"/>
          <w:i/>
          <w:iCs/>
        </w:rPr>
        <w:t>JORT</w:t>
      </w:r>
      <w:r w:rsidRPr="00C07F07">
        <w:rPr>
          <w:rFonts w:ascii="Times New Roman" w:hAnsi="Times New Roman" w:cs="Times New Roman"/>
        </w:rPr>
        <w:t xml:space="preserve"> n°33 du 4 mai 1993. </w:t>
      </w:r>
    </w:p>
  </w:footnote>
  <w:footnote w:id="27">
    <w:p w:rsidR="005273ED" w:rsidRDefault="005273ED" w:rsidP="0090042A">
      <w:pPr>
        <w:spacing w:after="0" w:line="240" w:lineRule="auto"/>
        <w:jc w:val="both"/>
      </w:pPr>
      <w:r w:rsidRPr="00C07F07">
        <w:rPr>
          <w:rStyle w:val="Appelnotedebasdep"/>
          <w:rFonts w:ascii="Times New Roman" w:hAnsi="Times New Roman"/>
          <w:sz w:val="20"/>
          <w:szCs w:val="20"/>
        </w:rPr>
        <w:footnoteRef/>
      </w:r>
      <w:r w:rsidRPr="00C07F07">
        <w:rPr>
          <w:rFonts w:ascii="Times New Roman" w:hAnsi="Times New Roman" w:cs="Times New Roman"/>
          <w:sz w:val="20"/>
          <w:szCs w:val="20"/>
        </w:rPr>
        <w:t xml:space="preserve"> On note </w:t>
      </w:r>
      <w:r w:rsidRPr="0090042A">
        <w:rPr>
          <w:rFonts w:ascii="Times New Roman" w:hAnsi="Times New Roman" w:cs="Times New Roman"/>
          <w:sz w:val="20"/>
          <w:szCs w:val="20"/>
        </w:rPr>
        <w:t xml:space="preserve">aussi </w:t>
      </w:r>
      <w:r w:rsidRPr="0090042A">
        <w:rPr>
          <w:rFonts w:ascii="Times New Roman" w:hAnsi="Times New Roman" w:cs="Times New Roman"/>
          <w:sz w:val="20"/>
          <w:szCs w:val="20"/>
          <w:lang w:eastAsia="fr-FR"/>
        </w:rPr>
        <w:t xml:space="preserve">une loi </w:t>
      </w:r>
      <w:r>
        <w:rPr>
          <w:rFonts w:ascii="Times New Roman" w:hAnsi="Times New Roman" w:cs="Times New Roman"/>
          <w:sz w:val="20"/>
          <w:szCs w:val="20"/>
          <w:lang w:eastAsia="fr-FR"/>
        </w:rPr>
        <w:t>tunisienne prévoyant l</w:t>
      </w:r>
      <w:r w:rsidRPr="0090042A">
        <w:rPr>
          <w:rFonts w:ascii="Times New Roman" w:hAnsi="Times New Roman" w:cs="Times New Roman"/>
          <w:sz w:val="20"/>
          <w:szCs w:val="20"/>
          <w:lang w:eastAsia="fr-FR"/>
        </w:rPr>
        <w:t>’exonération des opérations d’arbitrage des mesur</w:t>
      </w:r>
      <w:r>
        <w:rPr>
          <w:rFonts w:ascii="Times New Roman" w:hAnsi="Times New Roman" w:cs="Times New Roman"/>
          <w:sz w:val="20"/>
          <w:szCs w:val="20"/>
          <w:lang w:eastAsia="fr-FR"/>
        </w:rPr>
        <w:t>es d’enregistrement fiscales adoptée en mai 1994.</w:t>
      </w:r>
    </w:p>
  </w:footnote>
  <w:footnote w:id="28">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Pour cette loi, voir K. </w:t>
      </w:r>
      <w:proofErr w:type="spellStart"/>
      <w:r w:rsidRPr="00C07F07">
        <w:rPr>
          <w:rFonts w:ascii="Times New Roman" w:hAnsi="Times New Roman" w:cs="Times New Roman"/>
        </w:rPr>
        <w:t>Meziou</w:t>
      </w:r>
      <w:proofErr w:type="spellEnd"/>
      <w:r w:rsidRPr="00C07F07">
        <w:rPr>
          <w:rFonts w:ascii="Times New Roman" w:hAnsi="Times New Roman" w:cs="Times New Roman"/>
        </w:rPr>
        <w:t xml:space="preserve"> et A. </w:t>
      </w:r>
      <w:proofErr w:type="spellStart"/>
      <w:r w:rsidRPr="00C07F07">
        <w:rPr>
          <w:rFonts w:ascii="Times New Roman" w:hAnsi="Times New Roman" w:cs="Times New Roman"/>
        </w:rPr>
        <w:t>Mezghani</w:t>
      </w:r>
      <w:proofErr w:type="spellEnd"/>
      <w:r w:rsidRPr="00C07F07">
        <w:rPr>
          <w:rFonts w:ascii="Times New Roman" w:hAnsi="Times New Roman" w:cs="Times New Roman"/>
          <w:i/>
          <w:iCs/>
        </w:rPr>
        <w:t>, précité</w:t>
      </w:r>
      <w:r w:rsidRPr="00C07F07">
        <w:rPr>
          <w:rFonts w:ascii="Times New Roman" w:hAnsi="Times New Roman" w:cs="Times New Roman"/>
        </w:rPr>
        <w:t xml:space="preserve">, M.L. </w:t>
      </w:r>
      <w:proofErr w:type="spellStart"/>
      <w:r w:rsidRPr="00C07F07">
        <w:rPr>
          <w:rFonts w:ascii="Times New Roman" w:hAnsi="Times New Roman" w:cs="Times New Roman"/>
        </w:rPr>
        <w:t>Hachem</w:t>
      </w:r>
      <w:proofErr w:type="spellEnd"/>
      <w:r w:rsidRPr="00C07F07">
        <w:rPr>
          <w:rFonts w:ascii="Times New Roman" w:hAnsi="Times New Roman" w:cs="Times New Roman"/>
          <w:i/>
          <w:iCs/>
        </w:rPr>
        <w:t xml:space="preserve">, </w:t>
      </w:r>
      <w:r w:rsidRPr="00C07F07">
        <w:rPr>
          <w:rFonts w:ascii="Times New Roman" w:hAnsi="Times New Roman" w:cs="Times New Roman"/>
        </w:rPr>
        <w:t xml:space="preserve">L'arbitrage international dans le nouveau Code de l'arbitrage, </w:t>
      </w:r>
      <w:r w:rsidRPr="00C07F07">
        <w:rPr>
          <w:rFonts w:ascii="Times New Roman" w:hAnsi="Times New Roman" w:cs="Times New Roman"/>
          <w:i/>
          <w:iCs/>
        </w:rPr>
        <w:t xml:space="preserve">Revue tunisienne de droit (RTD) </w:t>
      </w:r>
      <w:r w:rsidRPr="00C07F07">
        <w:rPr>
          <w:rFonts w:ascii="Times New Roman" w:hAnsi="Times New Roman" w:cs="Times New Roman"/>
        </w:rPr>
        <w:t xml:space="preserve">1993, p. 33, </w:t>
      </w:r>
      <w:proofErr w:type="gramStart"/>
      <w:r w:rsidRPr="00C07F07">
        <w:rPr>
          <w:rFonts w:ascii="Times New Roman" w:hAnsi="Times New Roman" w:cs="Times New Roman"/>
        </w:rPr>
        <w:t>L .</w:t>
      </w:r>
      <w:proofErr w:type="gramEnd"/>
      <w:r w:rsidRPr="00C07F07">
        <w:rPr>
          <w:rFonts w:ascii="Times New Roman" w:hAnsi="Times New Roman" w:cs="Times New Roman"/>
        </w:rPr>
        <w:t xml:space="preserve"> </w:t>
      </w:r>
      <w:proofErr w:type="spellStart"/>
      <w:r w:rsidRPr="00C07F07">
        <w:rPr>
          <w:rFonts w:ascii="Times New Roman" w:hAnsi="Times New Roman" w:cs="Times New Roman"/>
        </w:rPr>
        <w:t>Chedly</w:t>
      </w:r>
      <w:proofErr w:type="spellEnd"/>
      <w:r w:rsidRPr="00C07F07">
        <w:rPr>
          <w:rFonts w:ascii="Times New Roman" w:hAnsi="Times New Roman" w:cs="Times New Roman"/>
        </w:rPr>
        <w:t xml:space="preserve">, L'arbitrage International en droit tunisien, </w:t>
      </w:r>
      <w:r w:rsidRPr="00C07F07">
        <w:rPr>
          <w:rFonts w:ascii="Times New Roman" w:hAnsi="Times New Roman" w:cs="Times New Roman"/>
          <w:i/>
          <w:iCs/>
        </w:rPr>
        <w:t>Journal du droit international</w:t>
      </w:r>
      <w:r w:rsidRPr="00C07F07">
        <w:rPr>
          <w:rFonts w:ascii="Times New Roman" w:hAnsi="Times New Roman" w:cs="Times New Roman"/>
        </w:rPr>
        <w:t xml:space="preserve"> 2008, p. 389.</w:t>
      </w:r>
    </w:p>
  </w:footnote>
  <w:footnote w:id="29">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K. </w:t>
      </w:r>
      <w:proofErr w:type="spellStart"/>
      <w:r w:rsidRPr="00C07F07">
        <w:rPr>
          <w:rFonts w:ascii="Times New Roman" w:hAnsi="Times New Roman" w:cs="Times New Roman"/>
        </w:rPr>
        <w:t>Meziou</w:t>
      </w:r>
      <w:proofErr w:type="spellEnd"/>
      <w:r w:rsidRPr="00C07F07">
        <w:rPr>
          <w:rFonts w:ascii="Times New Roman" w:hAnsi="Times New Roman" w:cs="Times New Roman"/>
        </w:rPr>
        <w:t>, Le droit de l’arbitrage international en Tunisie, Colloque de la Cour de cassation à Paris, 13 juin 2007, disponible sur  http://www.courdecassation.fr/colloques_activites_formation_4/2007_2254/international_droit_10314.html</w:t>
      </w:r>
    </w:p>
  </w:footnote>
  <w:footnote w:id="30">
    <w:p w:rsidR="005273ED" w:rsidRDefault="005273ED" w:rsidP="00796199">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w:t>
      </w:r>
      <w:proofErr w:type="spellStart"/>
      <w:r w:rsidRPr="00C07F07">
        <w:rPr>
          <w:rFonts w:ascii="Times New Roman" w:hAnsi="Times New Roman" w:cs="Times New Roman"/>
        </w:rPr>
        <w:t>Cass</w:t>
      </w:r>
      <w:proofErr w:type="spellEnd"/>
      <w:r w:rsidRPr="00C07F07">
        <w:rPr>
          <w:rFonts w:ascii="Times New Roman" w:hAnsi="Times New Roman" w:cs="Times New Roman"/>
        </w:rPr>
        <w:t xml:space="preserve">. </w:t>
      </w:r>
      <w:proofErr w:type="spellStart"/>
      <w:r>
        <w:rPr>
          <w:rFonts w:ascii="Times New Roman" w:hAnsi="Times New Roman" w:cs="Times New Roman"/>
        </w:rPr>
        <w:t>c</w:t>
      </w:r>
      <w:r w:rsidRPr="00C07F07">
        <w:rPr>
          <w:rFonts w:ascii="Times New Roman" w:hAnsi="Times New Roman" w:cs="Times New Roman"/>
        </w:rPr>
        <w:t>iv</w:t>
      </w:r>
      <w:proofErr w:type="spellEnd"/>
      <w:proofErr w:type="gramStart"/>
      <w:r w:rsidRPr="00C07F07">
        <w:rPr>
          <w:rFonts w:ascii="Times New Roman" w:hAnsi="Times New Roman" w:cs="Times New Roman"/>
        </w:rPr>
        <w:t>. ,</w:t>
      </w:r>
      <w:proofErr w:type="gramEnd"/>
      <w:r>
        <w:rPr>
          <w:rFonts w:ascii="Times New Roman" w:hAnsi="Times New Roman" w:cs="Times New Roman"/>
        </w:rPr>
        <w:t xml:space="preserve"> 14 mai 1998, Arrêt n°55988,  </w:t>
      </w:r>
      <w:r w:rsidRPr="00796199">
        <w:rPr>
          <w:rFonts w:ascii="Times New Roman" w:hAnsi="Times New Roman" w:cs="Times New Roman"/>
          <w:i/>
          <w:iCs/>
        </w:rPr>
        <w:t>Revue de la jurisprudence et de la législation</w:t>
      </w:r>
      <w:r w:rsidRPr="00C07F07">
        <w:rPr>
          <w:rFonts w:ascii="Times New Roman" w:hAnsi="Times New Roman" w:cs="Times New Roman"/>
        </w:rPr>
        <w:t xml:space="preserve">, numéro spécial arbitrage, mai 1999, </w:t>
      </w:r>
      <w:r>
        <w:rPr>
          <w:rFonts w:ascii="Times New Roman" w:hAnsi="Times New Roman" w:cs="Times New Roman"/>
        </w:rPr>
        <w:t>p</w:t>
      </w:r>
      <w:r w:rsidRPr="00C07F07">
        <w:rPr>
          <w:rFonts w:ascii="Times New Roman" w:hAnsi="Times New Roman" w:cs="Times New Roman"/>
        </w:rPr>
        <w:t xml:space="preserve">. 147, voir M. Ammar, L’arbitrage en Tunisie depuis l’édiction du code de l’arbitrage, </w:t>
      </w:r>
      <w:r w:rsidRPr="00C07F07">
        <w:rPr>
          <w:rFonts w:ascii="Times New Roman" w:hAnsi="Times New Roman" w:cs="Times New Roman"/>
          <w:i/>
          <w:iCs/>
        </w:rPr>
        <w:t>Revue de l’arbitrage</w:t>
      </w:r>
      <w:r>
        <w:rPr>
          <w:rFonts w:ascii="Times New Roman" w:hAnsi="Times New Roman" w:cs="Times New Roman"/>
        </w:rPr>
        <w:t xml:space="preserve"> 1993, p. 261.</w:t>
      </w:r>
      <w:r w:rsidRPr="00C07F07">
        <w:rPr>
          <w:rFonts w:ascii="Times New Roman" w:hAnsi="Times New Roman" w:cs="Times New Roman"/>
        </w:rPr>
        <w:t xml:space="preserve"> </w:t>
      </w:r>
    </w:p>
  </w:footnote>
  <w:footnote w:id="31">
    <w:p w:rsidR="005273ED" w:rsidRDefault="005273ED" w:rsidP="00796199">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w:t>
      </w:r>
      <w:proofErr w:type="spellStart"/>
      <w:r w:rsidRPr="00C07F07">
        <w:rPr>
          <w:rFonts w:ascii="Times New Roman" w:hAnsi="Times New Roman" w:cs="Times New Roman"/>
        </w:rPr>
        <w:t>Cass</w:t>
      </w:r>
      <w:proofErr w:type="spellEnd"/>
      <w:r w:rsidRPr="00C07F07">
        <w:rPr>
          <w:rFonts w:ascii="Times New Roman" w:hAnsi="Times New Roman" w:cs="Times New Roman"/>
        </w:rPr>
        <w:t xml:space="preserve">. </w:t>
      </w:r>
      <w:proofErr w:type="spellStart"/>
      <w:proofErr w:type="gramStart"/>
      <w:r w:rsidRPr="00C07F07">
        <w:rPr>
          <w:rFonts w:ascii="Times New Roman" w:hAnsi="Times New Roman" w:cs="Times New Roman"/>
        </w:rPr>
        <w:t>civ</w:t>
      </w:r>
      <w:proofErr w:type="spellEnd"/>
      <w:r w:rsidRPr="00C07F07">
        <w:rPr>
          <w:rFonts w:ascii="Times New Roman" w:hAnsi="Times New Roman" w:cs="Times New Roman"/>
        </w:rPr>
        <w:t>.,</w:t>
      </w:r>
      <w:proofErr w:type="gramEnd"/>
      <w:r w:rsidRPr="00C07F07">
        <w:rPr>
          <w:rFonts w:ascii="Times New Roman" w:hAnsi="Times New Roman" w:cs="Times New Roman"/>
        </w:rPr>
        <w:t xml:space="preserve"> 28 mai 2009, </w:t>
      </w:r>
      <w:proofErr w:type="spellStart"/>
      <w:r w:rsidRPr="00C07F07">
        <w:rPr>
          <w:rFonts w:ascii="Times New Roman" w:hAnsi="Times New Roman" w:cs="Times New Roman"/>
        </w:rPr>
        <w:t>aff</w:t>
      </w:r>
      <w:proofErr w:type="spellEnd"/>
      <w:r w:rsidRPr="00C07F07">
        <w:rPr>
          <w:rFonts w:ascii="Times New Roman" w:hAnsi="Times New Roman" w:cs="Times New Roman"/>
        </w:rPr>
        <w:t xml:space="preserve">. </w:t>
      </w:r>
      <w:proofErr w:type="gramStart"/>
      <w:r w:rsidRPr="00C07F07">
        <w:rPr>
          <w:rFonts w:ascii="Times New Roman" w:hAnsi="Times New Roman" w:cs="Times New Roman"/>
        </w:rPr>
        <w:t>n</w:t>
      </w:r>
      <w:proofErr w:type="gramEnd"/>
      <w:r w:rsidRPr="00C07F07">
        <w:rPr>
          <w:rFonts w:ascii="Times New Roman" w:hAnsi="Times New Roman" w:cs="Times New Roman"/>
        </w:rPr>
        <w:t>° 26338</w:t>
      </w:r>
      <w:r w:rsidRPr="00C07F07">
        <w:rPr>
          <w:rFonts w:ascii="Times New Roman" w:hAnsi="Times New Roman" w:cs="Times New Roman"/>
          <w:i/>
          <w:iCs/>
        </w:rPr>
        <w:t xml:space="preserve">, Tahar B.R. et sa famille c. Mounir A. en sa qualité d’associé dans la Sté </w:t>
      </w:r>
      <w:proofErr w:type="spellStart"/>
      <w:r w:rsidRPr="00C07F07">
        <w:rPr>
          <w:rFonts w:ascii="Times New Roman" w:hAnsi="Times New Roman" w:cs="Times New Roman"/>
          <w:i/>
          <w:iCs/>
        </w:rPr>
        <w:t>Flamengo</w:t>
      </w:r>
      <w:proofErr w:type="spellEnd"/>
      <w:r w:rsidRPr="00C07F07">
        <w:rPr>
          <w:rFonts w:ascii="Times New Roman" w:hAnsi="Times New Roman" w:cs="Times New Roman"/>
          <w:i/>
          <w:iCs/>
        </w:rPr>
        <w:t xml:space="preserve"> Center et Sté </w:t>
      </w:r>
      <w:proofErr w:type="spellStart"/>
      <w:r w:rsidRPr="00C07F07">
        <w:rPr>
          <w:rFonts w:ascii="Times New Roman" w:hAnsi="Times New Roman" w:cs="Times New Roman"/>
          <w:i/>
          <w:iCs/>
        </w:rPr>
        <w:t>Flamengo</w:t>
      </w:r>
      <w:proofErr w:type="spellEnd"/>
      <w:r w:rsidRPr="00C07F07">
        <w:rPr>
          <w:rFonts w:ascii="Times New Roman" w:hAnsi="Times New Roman" w:cs="Times New Roman"/>
        </w:rPr>
        <w:t xml:space="preserve">. La même motivation a été reprise intégralement dans un autre arrêt rendu le même jour dans la même </w:t>
      </w:r>
      <w:proofErr w:type="gramStart"/>
      <w:r w:rsidRPr="00C07F07">
        <w:rPr>
          <w:rFonts w:ascii="Times New Roman" w:hAnsi="Times New Roman" w:cs="Times New Roman"/>
        </w:rPr>
        <w:t>affaire ,</w:t>
      </w:r>
      <w:proofErr w:type="gramEnd"/>
      <w:r w:rsidRPr="00C07F07">
        <w:rPr>
          <w:rFonts w:ascii="Times New Roman" w:hAnsi="Times New Roman" w:cs="Times New Roman"/>
        </w:rPr>
        <w:t xml:space="preserve"> </w:t>
      </w:r>
      <w:proofErr w:type="spellStart"/>
      <w:r w:rsidRPr="00C07F07">
        <w:rPr>
          <w:rFonts w:ascii="Times New Roman" w:hAnsi="Times New Roman" w:cs="Times New Roman"/>
        </w:rPr>
        <w:t>Cass</w:t>
      </w:r>
      <w:proofErr w:type="spellEnd"/>
      <w:r w:rsidRPr="00C07F07">
        <w:rPr>
          <w:rFonts w:ascii="Times New Roman" w:hAnsi="Times New Roman" w:cs="Times New Roman"/>
        </w:rPr>
        <w:t xml:space="preserve">. </w:t>
      </w:r>
      <w:proofErr w:type="spellStart"/>
      <w:r w:rsidRPr="00C07F07">
        <w:rPr>
          <w:rFonts w:ascii="Times New Roman" w:hAnsi="Times New Roman" w:cs="Times New Roman"/>
        </w:rPr>
        <w:t>civ</w:t>
      </w:r>
      <w:proofErr w:type="spellEnd"/>
      <w:r w:rsidRPr="00C07F07">
        <w:rPr>
          <w:rFonts w:ascii="Times New Roman" w:hAnsi="Times New Roman" w:cs="Times New Roman"/>
        </w:rPr>
        <w:t>. 28 mai 2009</w:t>
      </w:r>
      <w:r>
        <w:rPr>
          <w:rFonts w:ascii="Times New Roman" w:hAnsi="Times New Roman" w:cs="Times New Roman"/>
        </w:rPr>
        <w:t xml:space="preserve">, </w:t>
      </w:r>
      <w:proofErr w:type="spellStart"/>
      <w:r w:rsidRPr="00C07F07">
        <w:rPr>
          <w:rFonts w:ascii="Times New Roman" w:hAnsi="Times New Roman" w:cs="Times New Roman"/>
        </w:rPr>
        <w:t>aff</w:t>
      </w:r>
      <w:proofErr w:type="spellEnd"/>
      <w:r w:rsidRPr="00C07F07">
        <w:rPr>
          <w:rFonts w:ascii="Times New Roman" w:hAnsi="Times New Roman" w:cs="Times New Roman"/>
        </w:rPr>
        <w:t xml:space="preserve">.  </w:t>
      </w:r>
      <w:proofErr w:type="gramStart"/>
      <w:r>
        <w:rPr>
          <w:rFonts w:ascii="Times New Roman" w:hAnsi="Times New Roman" w:cs="Times New Roman"/>
        </w:rPr>
        <w:t>n</w:t>
      </w:r>
      <w:proofErr w:type="gramEnd"/>
      <w:r w:rsidRPr="00C07F07">
        <w:rPr>
          <w:rFonts w:ascii="Times New Roman" w:hAnsi="Times New Roman" w:cs="Times New Roman"/>
        </w:rPr>
        <w:t xml:space="preserve">° 26337. </w:t>
      </w:r>
    </w:p>
  </w:footnote>
  <w:footnote w:id="32">
    <w:p w:rsidR="005273ED" w:rsidRDefault="005273ED" w:rsidP="00C07F07">
      <w:pPr>
        <w:spacing w:after="0" w:line="240" w:lineRule="auto"/>
        <w:jc w:val="both"/>
      </w:pPr>
      <w:r w:rsidRPr="00C07F07">
        <w:rPr>
          <w:rStyle w:val="Appelnotedebasdep"/>
          <w:rFonts w:ascii="Times New Roman" w:hAnsi="Times New Roman"/>
          <w:sz w:val="20"/>
          <w:szCs w:val="20"/>
        </w:rPr>
        <w:footnoteRef/>
      </w:r>
      <w:r w:rsidRPr="00C07F07">
        <w:rPr>
          <w:rFonts w:ascii="Times New Roman" w:hAnsi="Times New Roman" w:cs="Times New Roman"/>
          <w:sz w:val="20"/>
          <w:szCs w:val="20"/>
        </w:rPr>
        <w:t xml:space="preserve"> « </w:t>
      </w:r>
      <w:r w:rsidRPr="00C07F07">
        <w:rPr>
          <w:rFonts w:ascii="Times New Roman" w:hAnsi="Times New Roman" w:cs="Times New Roman"/>
          <w:i/>
          <w:sz w:val="20"/>
          <w:szCs w:val="20"/>
        </w:rPr>
        <w:t xml:space="preserve">Attendu que l’article 50 du Code de l’Arbitrage prévoit qu’« est réputé avoir renoncé à son droit de faire objection toute partie qui, bien qu'elle sache le non respect d'une clause d'arbitrage ou la dérogation à une disposition du présent chapitre que les parties peuvent invoquer, poursuit néanmoins l'arbitrage sans formuler d'objection promptement ou dans le délai, si un délai a été prévu à cet effet . Attendu que les dispositions de cet article sont parmi les principes généraux du droit qui s’appliquent à toutes les affaires d’arbitrage, qu’il soit interne ou international, étant donné qu’elles se rattachent à la nature même de l’arbitrage en tant que mode privé de règlement des contestations et l’absence de rattachement à l’une ou à l’autre de ses catégories. Attendu que le recourant dans la présente affaire, tel qu’il a été démontré dans l’arrêt attaqué (Appel Tunis, arrêt du 29 janv. 2008, </w:t>
      </w:r>
      <w:proofErr w:type="spellStart"/>
      <w:r w:rsidRPr="00C07F07">
        <w:rPr>
          <w:rFonts w:ascii="Times New Roman" w:hAnsi="Times New Roman" w:cs="Times New Roman"/>
          <w:i/>
          <w:sz w:val="20"/>
          <w:szCs w:val="20"/>
        </w:rPr>
        <w:t>aff</w:t>
      </w:r>
      <w:proofErr w:type="spellEnd"/>
      <w:r w:rsidRPr="00C07F07">
        <w:rPr>
          <w:rFonts w:ascii="Times New Roman" w:hAnsi="Times New Roman" w:cs="Times New Roman"/>
          <w:i/>
          <w:sz w:val="20"/>
          <w:szCs w:val="20"/>
        </w:rPr>
        <w:t xml:space="preserve">. n° 57706) a accepté de continuer la procédure arbitrale en dehors du délai, ce qui s’interprète comme étant une acceptation implicite sans réserve de la prorogation du délai de l’arbitrage, l’empêchant ainsi d’invoquer le dépassement du délai fixé pour le prononcé de la sentence d’arbitrage, d’où ce grief encourt le rejet, faute de base légale », </w:t>
      </w:r>
      <w:r w:rsidRPr="00C07F07">
        <w:rPr>
          <w:rFonts w:ascii="Times New Roman" w:hAnsi="Times New Roman" w:cs="Times New Roman"/>
          <w:iCs/>
          <w:sz w:val="20"/>
          <w:szCs w:val="20"/>
        </w:rPr>
        <w:t xml:space="preserve">traduction de A. </w:t>
      </w:r>
      <w:proofErr w:type="spellStart"/>
      <w:r w:rsidRPr="00C07F07">
        <w:rPr>
          <w:rFonts w:ascii="Times New Roman" w:hAnsi="Times New Roman" w:cs="Times New Roman"/>
          <w:iCs/>
          <w:sz w:val="20"/>
          <w:szCs w:val="20"/>
        </w:rPr>
        <w:t>Ouerfelli</w:t>
      </w:r>
      <w:proofErr w:type="spellEnd"/>
      <w:r w:rsidRPr="00C07F07">
        <w:rPr>
          <w:rFonts w:ascii="Times New Roman" w:hAnsi="Times New Roman" w:cs="Times New Roman"/>
          <w:iCs/>
          <w:sz w:val="20"/>
          <w:szCs w:val="20"/>
        </w:rPr>
        <w:t xml:space="preserve">, email envoyé à la liste arbitrage </w:t>
      </w:r>
      <w:proofErr w:type="spellStart"/>
      <w:r w:rsidRPr="00C07F07">
        <w:rPr>
          <w:rFonts w:ascii="Times New Roman" w:hAnsi="Times New Roman" w:cs="Times New Roman"/>
          <w:iCs/>
          <w:sz w:val="20"/>
          <w:szCs w:val="20"/>
        </w:rPr>
        <w:t>adr</w:t>
      </w:r>
      <w:proofErr w:type="spellEnd"/>
      <w:r w:rsidRPr="00C07F07">
        <w:rPr>
          <w:rFonts w:ascii="Times New Roman" w:hAnsi="Times New Roman" w:cs="Times New Roman"/>
          <w:iCs/>
          <w:sz w:val="20"/>
          <w:szCs w:val="20"/>
        </w:rPr>
        <w:t>, arbitrage-adr@yahoogroupes.fr, 4 juin 2009.</w:t>
      </w:r>
    </w:p>
  </w:footnote>
  <w:footnote w:id="33">
    <w:p w:rsidR="005273ED" w:rsidRDefault="005273ED" w:rsidP="00C07F07">
      <w:pPr>
        <w:spacing w:after="0" w:line="240" w:lineRule="auto"/>
        <w:jc w:val="both"/>
      </w:pPr>
      <w:r w:rsidRPr="00C07F07">
        <w:rPr>
          <w:rStyle w:val="Appelnotedebasdep"/>
          <w:rFonts w:ascii="Times New Roman" w:hAnsi="Times New Roman"/>
          <w:sz w:val="20"/>
          <w:szCs w:val="20"/>
        </w:rPr>
        <w:footnoteRef/>
      </w:r>
      <w:r w:rsidRPr="00C07F07">
        <w:rPr>
          <w:rFonts w:ascii="Times New Roman" w:hAnsi="Times New Roman" w:cs="Times New Roman"/>
          <w:sz w:val="20"/>
          <w:szCs w:val="20"/>
        </w:rPr>
        <w:t xml:space="preserve">, voir W. Ben </w:t>
      </w:r>
      <w:proofErr w:type="spellStart"/>
      <w:r w:rsidRPr="00C07F07">
        <w:rPr>
          <w:rFonts w:ascii="Times New Roman" w:hAnsi="Times New Roman" w:cs="Times New Roman"/>
          <w:sz w:val="20"/>
          <w:szCs w:val="20"/>
        </w:rPr>
        <w:t>Hamida</w:t>
      </w:r>
      <w:proofErr w:type="spellEnd"/>
      <w:r w:rsidRPr="00C07F07">
        <w:rPr>
          <w:rFonts w:ascii="Times New Roman" w:hAnsi="Times New Roman" w:cs="Times New Roman"/>
          <w:sz w:val="20"/>
          <w:szCs w:val="20"/>
        </w:rPr>
        <w:t>, Thèse précitée, p. 155.</w:t>
      </w:r>
    </w:p>
  </w:footnote>
  <w:footnote w:id="34">
    <w:p w:rsidR="005273ED" w:rsidRDefault="005273ED" w:rsidP="00C07F07">
      <w:pPr>
        <w:autoSpaceDE w:val="0"/>
        <w:autoSpaceDN w:val="0"/>
        <w:adjustRightInd w:val="0"/>
        <w:spacing w:after="0" w:line="240" w:lineRule="auto"/>
        <w:jc w:val="both"/>
      </w:pPr>
      <w:r w:rsidRPr="00C07F07">
        <w:rPr>
          <w:rStyle w:val="Appelnotedebasdep"/>
          <w:rFonts w:ascii="Times New Roman" w:hAnsi="Times New Roman"/>
          <w:sz w:val="20"/>
          <w:szCs w:val="20"/>
        </w:rPr>
        <w:footnoteRef/>
      </w:r>
      <w:r w:rsidRPr="00C07F07">
        <w:rPr>
          <w:rFonts w:ascii="Times New Roman" w:hAnsi="Times New Roman" w:cs="Times New Roman"/>
          <w:sz w:val="20"/>
          <w:szCs w:val="20"/>
        </w:rPr>
        <w:t xml:space="preserve"> </w:t>
      </w:r>
      <w:r w:rsidRPr="00C07F07">
        <w:rPr>
          <w:rFonts w:ascii="Times New Roman" w:hAnsi="Times New Roman" w:cs="Times New Roman"/>
          <w:sz w:val="20"/>
          <w:szCs w:val="20"/>
          <w:lang w:eastAsia="fr-FR"/>
        </w:rPr>
        <w:t xml:space="preserve">Ph. </w:t>
      </w:r>
      <w:proofErr w:type="spellStart"/>
      <w:r w:rsidRPr="00C07F07">
        <w:rPr>
          <w:rFonts w:ascii="Times New Roman" w:hAnsi="Times New Roman" w:cs="Times New Roman"/>
          <w:sz w:val="20"/>
          <w:szCs w:val="20"/>
          <w:lang w:eastAsia="fr-FR"/>
        </w:rPr>
        <w:t>Pinsolle</w:t>
      </w:r>
      <w:proofErr w:type="spellEnd"/>
      <w:r w:rsidRPr="00C07F07">
        <w:rPr>
          <w:rFonts w:ascii="Times New Roman" w:hAnsi="Times New Roman" w:cs="Times New Roman"/>
          <w:sz w:val="20"/>
          <w:szCs w:val="20"/>
          <w:lang w:eastAsia="fr-FR"/>
        </w:rPr>
        <w:t xml:space="preserve">, note sous </w:t>
      </w:r>
      <w:proofErr w:type="spellStart"/>
      <w:r w:rsidRPr="00C07F07">
        <w:rPr>
          <w:rFonts w:ascii="Times New Roman" w:hAnsi="Times New Roman" w:cs="Times New Roman"/>
          <w:sz w:val="20"/>
          <w:szCs w:val="20"/>
          <w:lang w:eastAsia="fr-FR"/>
        </w:rPr>
        <w:t>Cass</w:t>
      </w:r>
      <w:proofErr w:type="spellEnd"/>
      <w:r w:rsidRPr="00C07F07">
        <w:rPr>
          <w:rFonts w:ascii="Times New Roman" w:hAnsi="Times New Roman" w:cs="Times New Roman"/>
          <w:sz w:val="20"/>
          <w:szCs w:val="20"/>
          <w:lang w:eastAsia="fr-FR"/>
        </w:rPr>
        <w:t xml:space="preserve">. </w:t>
      </w:r>
      <w:proofErr w:type="spellStart"/>
      <w:r w:rsidRPr="00C07F07">
        <w:rPr>
          <w:rFonts w:ascii="Times New Roman" w:hAnsi="Times New Roman" w:cs="Times New Roman"/>
          <w:sz w:val="20"/>
          <w:szCs w:val="20"/>
          <w:lang w:eastAsia="fr-FR"/>
        </w:rPr>
        <w:t>civ</w:t>
      </w:r>
      <w:proofErr w:type="spellEnd"/>
      <w:r w:rsidRPr="00C07F07">
        <w:rPr>
          <w:rFonts w:ascii="Times New Roman" w:hAnsi="Times New Roman" w:cs="Times New Roman"/>
          <w:sz w:val="20"/>
          <w:szCs w:val="20"/>
          <w:lang w:eastAsia="fr-FR"/>
        </w:rPr>
        <w:t>, 1</w:t>
      </w:r>
      <w:r w:rsidRPr="00C07F07">
        <w:rPr>
          <w:rFonts w:ascii="Times New Roman" w:hAnsi="Times New Roman" w:cs="Times New Roman"/>
          <w:sz w:val="20"/>
          <w:szCs w:val="20"/>
          <w:vertAlign w:val="superscript"/>
          <w:lang w:eastAsia="fr-FR"/>
        </w:rPr>
        <w:t>re</w:t>
      </w:r>
      <w:r w:rsidRPr="00C07F07">
        <w:rPr>
          <w:rFonts w:ascii="Times New Roman" w:hAnsi="Times New Roman" w:cs="Times New Roman"/>
          <w:sz w:val="20"/>
          <w:szCs w:val="20"/>
          <w:lang w:eastAsia="fr-FR"/>
        </w:rPr>
        <w:t xml:space="preserve"> </w:t>
      </w:r>
      <w:proofErr w:type="spellStart"/>
      <w:r w:rsidRPr="00C07F07">
        <w:rPr>
          <w:rFonts w:ascii="Times New Roman" w:hAnsi="Times New Roman" w:cs="Times New Roman"/>
          <w:sz w:val="20"/>
          <w:szCs w:val="20"/>
          <w:lang w:eastAsia="fr-FR"/>
        </w:rPr>
        <w:t>civ</w:t>
      </w:r>
      <w:proofErr w:type="spellEnd"/>
      <w:r w:rsidRPr="00C07F07">
        <w:rPr>
          <w:rFonts w:ascii="Times New Roman" w:hAnsi="Times New Roman" w:cs="Times New Roman"/>
          <w:sz w:val="20"/>
          <w:szCs w:val="20"/>
          <w:lang w:eastAsia="fr-FR"/>
        </w:rPr>
        <w:t xml:space="preserve">. 6 juillet 2005, arrêt </w:t>
      </w:r>
      <w:proofErr w:type="spellStart"/>
      <w:r w:rsidRPr="00C07F07">
        <w:rPr>
          <w:rFonts w:ascii="Times New Roman" w:hAnsi="Times New Roman" w:cs="Times New Roman"/>
          <w:sz w:val="20"/>
          <w:szCs w:val="20"/>
        </w:rPr>
        <w:t>Golshani</w:t>
      </w:r>
      <w:proofErr w:type="spellEnd"/>
      <w:r w:rsidRPr="00C07F07">
        <w:rPr>
          <w:rFonts w:ascii="Times New Roman" w:hAnsi="Times New Roman" w:cs="Times New Roman"/>
          <w:sz w:val="20"/>
          <w:szCs w:val="20"/>
          <w:lang w:eastAsia="fr-FR"/>
        </w:rPr>
        <w:t xml:space="preserve">, </w:t>
      </w:r>
      <w:r w:rsidRPr="00C07F07">
        <w:rPr>
          <w:rFonts w:ascii="Times New Roman" w:hAnsi="Times New Roman" w:cs="Times New Roman"/>
          <w:i/>
          <w:iCs/>
          <w:sz w:val="20"/>
          <w:szCs w:val="20"/>
          <w:lang w:eastAsia="fr-FR"/>
        </w:rPr>
        <w:t>Revue de l’arbitrage</w:t>
      </w:r>
      <w:r w:rsidRPr="00C07F07">
        <w:rPr>
          <w:rFonts w:ascii="Times New Roman" w:hAnsi="Times New Roman" w:cs="Times New Roman"/>
          <w:sz w:val="20"/>
          <w:szCs w:val="20"/>
          <w:lang w:eastAsia="fr-FR"/>
        </w:rPr>
        <w:t xml:space="preserve"> 2005 p. 993, voir aussi  J. </w:t>
      </w:r>
      <w:proofErr w:type="spellStart"/>
      <w:r w:rsidRPr="00C07F07">
        <w:rPr>
          <w:rFonts w:ascii="Times New Roman" w:hAnsi="Times New Roman" w:cs="Times New Roman"/>
          <w:sz w:val="20"/>
          <w:szCs w:val="20"/>
          <w:lang w:eastAsia="fr-FR"/>
        </w:rPr>
        <w:t>Ortscheidt</w:t>
      </w:r>
      <w:proofErr w:type="spellEnd"/>
      <w:r w:rsidRPr="00C07F07">
        <w:rPr>
          <w:rFonts w:ascii="Times New Roman" w:hAnsi="Times New Roman" w:cs="Times New Roman"/>
          <w:sz w:val="20"/>
          <w:szCs w:val="20"/>
          <w:lang w:eastAsia="fr-FR"/>
        </w:rPr>
        <w:t xml:space="preserve">, Précisions sur le régime de l'estoppel dans l'arbitrage international, </w:t>
      </w:r>
      <w:r w:rsidRPr="00C07F07">
        <w:rPr>
          <w:rFonts w:ascii="Times New Roman" w:hAnsi="Times New Roman" w:cs="Times New Roman"/>
          <w:i/>
          <w:iCs/>
          <w:sz w:val="20"/>
          <w:szCs w:val="20"/>
          <w:lang w:eastAsia="fr-FR"/>
        </w:rPr>
        <w:t>La semaine Juridique Entreprise et Affaires</w:t>
      </w:r>
      <w:r w:rsidRPr="00C07F07">
        <w:rPr>
          <w:rFonts w:ascii="Times New Roman" w:hAnsi="Times New Roman" w:cs="Times New Roman"/>
          <w:sz w:val="20"/>
          <w:szCs w:val="20"/>
          <w:lang w:eastAsia="fr-FR"/>
        </w:rPr>
        <w:t xml:space="preserve"> n° 8, 25 février 2010, 1194, J-G. </w:t>
      </w:r>
      <w:proofErr w:type="spellStart"/>
      <w:r w:rsidRPr="00C07F07">
        <w:rPr>
          <w:rFonts w:ascii="Times New Roman" w:hAnsi="Times New Roman" w:cs="Times New Roman"/>
          <w:sz w:val="20"/>
          <w:szCs w:val="20"/>
          <w:lang w:eastAsia="fr-FR"/>
        </w:rPr>
        <w:t>Betto</w:t>
      </w:r>
      <w:proofErr w:type="spellEnd"/>
      <w:r w:rsidRPr="00C07F07">
        <w:rPr>
          <w:rFonts w:ascii="Times New Roman" w:hAnsi="Times New Roman" w:cs="Times New Roman"/>
          <w:sz w:val="20"/>
          <w:szCs w:val="20"/>
          <w:lang w:eastAsia="fr-FR"/>
        </w:rPr>
        <w:t xml:space="preserve"> et  A. Job, Enfin la définition de l'estoppel en droit français, </w:t>
      </w:r>
      <w:r w:rsidRPr="00C07F07">
        <w:rPr>
          <w:rFonts w:ascii="Times New Roman" w:hAnsi="Times New Roman" w:cs="Times New Roman"/>
          <w:i/>
          <w:iCs/>
          <w:sz w:val="20"/>
          <w:szCs w:val="20"/>
          <w:lang w:eastAsia="fr-FR"/>
        </w:rPr>
        <w:t>Option Droit et Finance</w:t>
      </w:r>
      <w:r w:rsidRPr="00C07F07">
        <w:rPr>
          <w:rFonts w:ascii="Times New Roman" w:hAnsi="Times New Roman" w:cs="Times New Roman"/>
          <w:sz w:val="20"/>
          <w:szCs w:val="20"/>
          <w:lang w:eastAsia="fr-FR"/>
        </w:rPr>
        <w:t xml:space="preserve">, 21 avril 2010, p. 8 et </w:t>
      </w:r>
      <w:r w:rsidRPr="00C07F07">
        <w:rPr>
          <w:rFonts w:ascii="Times New Roman" w:hAnsi="Times New Roman" w:cs="Times New Roman"/>
          <w:sz w:val="20"/>
          <w:szCs w:val="20"/>
        </w:rPr>
        <w:t xml:space="preserve">Ph. </w:t>
      </w:r>
      <w:proofErr w:type="spellStart"/>
      <w:r w:rsidRPr="00C07F07">
        <w:rPr>
          <w:rFonts w:ascii="Times New Roman" w:hAnsi="Times New Roman" w:cs="Times New Roman"/>
          <w:sz w:val="20"/>
          <w:szCs w:val="20"/>
        </w:rPr>
        <w:t>Pinsolle</w:t>
      </w:r>
      <w:proofErr w:type="spellEnd"/>
      <w:r w:rsidRPr="00C07F07">
        <w:rPr>
          <w:rFonts w:ascii="Times New Roman" w:hAnsi="Times New Roman" w:cs="Times New Roman"/>
          <w:sz w:val="20"/>
          <w:szCs w:val="20"/>
        </w:rPr>
        <w:t xml:space="preserve">, Distinction entre le principe de l'Estoppel et le principe de bonne foi dans le droit du commerce international, </w:t>
      </w:r>
      <w:r w:rsidRPr="00C07F07">
        <w:rPr>
          <w:rFonts w:ascii="Times New Roman" w:hAnsi="Times New Roman" w:cs="Times New Roman"/>
          <w:i/>
          <w:iCs/>
          <w:sz w:val="20"/>
          <w:szCs w:val="20"/>
        </w:rPr>
        <w:t>Journal du Droit International</w:t>
      </w:r>
      <w:r w:rsidRPr="00C07F07">
        <w:rPr>
          <w:rFonts w:ascii="Times New Roman" w:hAnsi="Times New Roman" w:cs="Times New Roman"/>
          <w:sz w:val="20"/>
          <w:szCs w:val="20"/>
        </w:rPr>
        <w:t xml:space="preserve"> 1998, p. 905.</w:t>
      </w:r>
    </w:p>
  </w:footnote>
  <w:footnote w:id="35">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Cité et traduit par A. </w:t>
      </w:r>
      <w:proofErr w:type="spellStart"/>
      <w:r w:rsidRPr="00C07F07">
        <w:rPr>
          <w:rFonts w:ascii="Times New Roman" w:hAnsi="Times New Roman" w:cs="Times New Roman"/>
        </w:rPr>
        <w:t>Ouerfelli</w:t>
      </w:r>
      <w:proofErr w:type="spellEnd"/>
      <w:r w:rsidRPr="00C07F07">
        <w:rPr>
          <w:rFonts w:ascii="Times New Roman" w:hAnsi="Times New Roman" w:cs="Times New Roman"/>
        </w:rPr>
        <w:t xml:space="preserve">, </w:t>
      </w:r>
      <w:r w:rsidRPr="00C07F07">
        <w:rPr>
          <w:rFonts w:ascii="Times New Roman" w:hAnsi="Times New Roman" w:cs="Times New Roman"/>
          <w:i/>
          <w:iCs/>
        </w:rPr>
        <w:t>L'arbitrage dans la jurisprudence tunisienne</w:t>
      </w:r>
      <w:r w:rsidRPr="00C07F07">
        <w:rPr>
          <w:rFonts w:ascii="Times New Roman" w:hAnsi="Times New Roman" w:cs="Times New Roman"/>
        </w:rPr>
        <w:t xml:space="preserve">, </w:t>
      </w:r>
      <w:proofErr w:type="spellStart"/>
      <w:r w:rsidRPr="00C07F07">
        <w:rPr>
          <w:rFonts w:ascii="Times New Roman" w:hAnsi="Times New Roman" w:cs="Times New Roman"/>
        </w:rPr>
        <w:t>Latrach</w:t>
      </w:r>
      <w:proofErr w:type="spellEnd"/>
      <w:r w:rsidRPr="00C07F07">
        <w:rPr>
          <w:rFonts w:ascii="Times New Roman" w:hAnsi="Times New Roman" w:cs="Times New Roman"/>
        </w:rPr>
        <w:t xml:space="preserve"> </w:t>
      </w:r>
      <w:proofErr w:type="spellStart"/>
      <w:r w:rsidRPr="00C07F07">
        <w:rPr>
          <w:rFonts w:ascii="Times New Roman" w:hAnsi="Times New Roman" w:cs="Times New Roman"/>
        </w:rPr>
        <w:t>editions</w:t>
      </w:r>
      <w:proofErr w:type="spellEnd"/>
      <w:r w:rsidRPr="00C07F07">
        <w:rPr>
          <w:rFonts w:ascii="Times New Roman" w:hAnsi="Times New Roman" w:cs="Times New Roman"/>
        </w:rPr>
        <w:t xml:space="preserve"> et LGDJ 2010, préface  de S. </w:t>
      </w:r>
      <w:proofErr w:type="spellStart"/>
      <w:r w:rsidRPr="00C07F07">
        <w:rPr>
          <w:rFonts w:ascii="Times New Roman" w:hAnsi="Times New Roman" w:cs="Times New Roman"/>
        </w:rPr>
        <w:t>Bostanji</w:t>
      </w:r>
      <w:proofErr w:type="spellEnd"/>
      <w:r w:rsidRPr="00C07F07">
        <w:rPr>
          <w:rFonts w:ascii="Times New Roman" w:hAnsi="Times New Roman" w:cs="Times New Roman"/>
        </w:rPr>
        <w:t>, p. 308.</w:t>
      </w:r>
    </w:p>
  </w:footnote>
  <w:footnote w:id="36">
    <w:p w:rsidR="005273ED" w:rsidRDefault="005273ED" w:rsidP="00A9114D">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w:t>
      </w:r>
      <w:proofErr w:type="spellStart"/>
      <w:r w:rsidRPr="00C07F07">
        <w:rPr>
          <w:rFonts w:ascii="Times New Roman" w:hAnsi="Times New Roman" w:cs="Times New Roman"/>
        </w:rPr>
        <w:t>Cass</w:t>
      </w:r>
      <w:proofErr w:type="spellEnd"/>
      <w:r w:rsidRPr="00C07F07">
        <w:rPr>
          <w:rFonts w:ascii="Times New Roman" w:hAnsi="Times New Roman" w:cs="Times New Roman"/>
        </w:rPr>
        <w:t xml:space="preserve"> </w:t>
      </w:r>
      <w:proofErr w:type="spellStart"/>
      <w:r>
        <w:rPr>
          <w:rFonts w:ascii="Times New Roman" w:hAnsi="Times New Roman" w:cs="Times New Roman"/>
        </w:rPr>
        <w:t>c</w:t>
      </w:r>
      <w:r w:rsidRPr="00C07F07">
        <w:rPr>
          <w:rFonts w:ascii="Times New Roman" w:hAnsi="Times New Roman" w:cs="Times New Roman"/>
        </w:rPr>
        <w:t>iv</w:t>
      </w:r>
      <w:proofErr w:type="spellEnd"/>
      <w:r w:rsidRPr="00C07F07">
        <w:rPr>
          <w:rFonts w:ascii="Times New Roman" w:hAnsi="Times New Roman" w:cs="Times New Roman"/>
        </w:rPr>
        <w:t xml:space="preserve"> n° 31607 du 20 juin 1994, Bull. 1994, p. 456 cité et traduit par N. </w:t>
      </w:r>
      <w:proofErr w:type="spellStart"/>
      <w:r w:rsidRPr="00C07F07">
        <w:rPr>
          <w:rFonts w:ascii="Times New Roman" w:hAnsi="Times New Roman" w:cs="Times New Roman"/>
        </w:rPr>
        <w:t>Mzid</w:t>
      </w:r>
      <w:proofErr w:type="spellEnd"/>
      <w:r w:rsidRPr="00C07F07">
        <w:rPr>
          <w:rFonts w:ascii="Times New Roman" w:hAnsi="Times New Roman" w:cs="Times New Roman"/>
        </w:rPr>
        <w:t xml:space="preserve">, Essai sur la négociation du contrat en droit civil, </w:t>
      </w:r>
      <w:r w:rsidRPr="00C07F07">
        <w:rPr>
          <w:rFonts w:ascii="Times New Roman" w:hAnsi="Times New Roman" w:cs="Times New Roman"/>
          <w:i/>
          <w:iCs/>
        </w:rPr>
        <w:t>Revue Tunisienne de droit</w:t>
      </w:r>
      <w:r w:rsidRPr="00C07F07">
        <w:rPr>
          <w:rFonts w:ascii="Times New Roman" w:hAnsi="Times New Roman" w:cs="Times New Roman"/>
        </w:rPr>
        <w:t xml:space="preserve"> 2000; p. 325</w:t>
      </w:r>
    </w:p>
  </w:footnote>
  <w:footnote w:id="37">
    <w:p w:rsidR="005273ED" w:rsidRDefault="005273ED" w:rsidP="00A9114D">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Voir </w:t>
      </w:r>
      <w:r>
        <w:rPr>
          <w:rFonts w:ascii="Times New Roman" w:hAnsi="Times New Roman" w:cs="Times New Roman"/>
        </w:rPr>
        <w:t>C</w:t>
      </w:r>
      <w:r w:rsidRPr="00C07F07">
        <w:rPr>
          <w:rFonts w:ascii="Times New Roman" w:hAnsi="Times New Roman" w:cs="Times New Roman"/>
        </w:rPr>
        <w:t xml:space="preserve">our d’appel de Tunis, 5 décembre 1979, affaire n°44967, </w:t>
      </w:r>
      <w:r w:rsidRPr="00C07F07">
        <w:rPr>
          <w:rFonts w:ascii="Times New Roman" w:hAnsi="Times New Roman" w:cs="Times New Roman"/>
          <w:i/>
          <w:iCs/>
        </w:rPr>
        <w:t>office nationale de l’huile ONH c</w:t>
      </w:r>
      <w:proofErr w:type="gramStart"/>
      <w:r w:rsidRPr="00C07F07">
        <w:rPr>
          <w:rFonts w:ascii="Times New Roman" w:hAnsi="Times New Roman" w:cs="Times New Roman"/>
          <w:i/>
          <w:iCs/>
        </w:rPr>
        <w:t>./</w:t>
      </w:r>
      <w:proofErr w:type="gramEnd"/>
      <w:r w:rsidRPr="00C07F07">
        <w:rPr>
          <w:rFonts w:ascii="Times New Roman" w:hAnsi="Times New Roman" w:cs="Times New Roman"/>
          <w:i/>
          <w:iCs/>
        </w:rPr>
        <w:t xml:space="preserve"> </w:t>
      </w:r>
      <w:proofErr w:type="spellStart"/>
      <w:r w:rsidRPr="00C07F07">
        <w:rPr>
          <w:rFonts w:ascii="Times New Roman" w:hAnsi="Times New Roman" w:cs="Times New Roman"/>
          <w:i/>
          <w:iCs/>
        </w:rPr>
        <w:t>Warenco</w:t>
      </w:r>
      <w:proofErr w:type="spellEnd"/>
      <w:r w:rsidRPr="00C07F07">
        <w:rPr>
          <w:rFonts w:ascii="Times New Roman" w:hAnsi="Times New Roman" w:cs="Times New Roman"/>
        </w:rPr>
        <w:t xml:space="preserve">, </w:t>
      </w:r>
      <w:r w:rsidRPr="00A9114D">
        <w:rPr>
          <w:rFonts w:ascii="Times New Roman" w:hAnsi="Times New Roman" w:cs="Times New Roman"/>
          <w:i/>
          <w:iCs/>
        </w:rPr>
        <w:t>Revue Tunisienne de Droit</w:t>
      </w:r>
      <w:r w:rsidRPr="00C07F07">
        <w:rPr>
          <w:rFonts w:ascii="Times New Roman" w:hAnsi="Times New Roman" w:cs="Times New Roman"/>
        </w:rPr>
        <w:t xml:space="preserve"> (</w:t>
      </w:r>
      <w:r>
        <w:rPr>
          <w:rFonts w:ascii="Times New Roman" w:hAnsi="Times New Roman" w:cs="Times New Roman"/>
        </w:rPr>
        <w:t> RTD </w:t>
      </w:r>
      <w:r w:rsidRPr="00C07F07">
        <w:rPr>
          <w:rFonts w:ascii="Times New Roman" w:hAnsi="Times New Roman" w:cs="Times New Roman"/>
        </w:rPr>
        <w:t xml:space="preserve">) 1980, p. 159 note M.L. </w:t>
      </w:r>
      <w:proofErr w:type="spellStart"/>
      <w:r w:rsidRPr="00C07F07">
        <w:rPr>
          <w:rFonts w:ascii="Times New Roman" w:hAnsi="Times New Roman" w:cs="Times New Roman"/>
        </w:rPr>
        <w:t>Hachem</w:t>
      </w:r>
      <w:proofErr w:type="spellEnd"/>
      <w:r w:rsidRPr="00C07F07">
        <w:rPr>
          <w:rFonts w:ascii="Times New Roman" w:hAnsi="Times New Roman" w:cs="Times New Roman"/>
        </w:rPr>
        <w:t xml:space="preserve"> et Cour de cassation, 17 mars 1993, affaire n° 28450,  </w:t>
      </w:r>
      <w:r w:rsidRPr="00C07F07">
        <w:rPr>
          <w:rFonts w:ascii="Times New Roman" w:hAnsi="Times New Roman" w:cs="Times New Roman"/>
          <w:i/>
          <w:iCs/>
        </w:rPr>
        <w:t>Revue libanaise de l’arbitrage</w:t>
      </w:r>
      <w:r w:rsidRPr="00C07F07">
        <w:rPr>
          <w:rFonts w:ascii="Times New Roman" w:hAnsi="Times New Roman" w:cs="Times New Roman"/>
        </w:rPr>
        <w:t xml:space="preserve"> n°7, p. 86 </w:t>
      </w:r>
      <w:r>
        <w:rPr>
          <w:rFonts w:ascii="Times New Roman" w:hAnsi="Times New Roman" w:cs="Times New Roman"/>
        </w:rPr>
        <w:t>et A.</w:t>
      </w:r>
      <w:r w:rsidRPr="00C07F07">
        <w:rPr>
          <w:rFonts w:ascii="Times New Roman" w:hAnsi="Times New Roman" w:cs="Times New Roman"/>
        </w:rPr>
        <w:t xml:space="preserve"> </w:t>
      </w:r>
      <w:proofErr w:type="spellStart"/>
      <w:r w:rsidRPr="00C07F07">
        <w:rPr>
          <w:rFonts w:ascii="Times New Roman" w:hAnsi="Times New Roman" w:cs="Times New Roman"/>
        </w:rPr>
        <w:t>Ouerfelli</w:t>
      </w:r>
      <w:proofErr w:type="spellEnd"/>
      <w:r w:rsidRPr="00C07F07">
        <w:rPr>
          <w:rFonts w:ascii="Times New Roman" w:hAnsi="Times New Roman" w:cs="Times New Roman"/>
        </w:rPr>
        <w:t>, ouvrage précité, p. 303.</w:t>
      </w:r>
    </w:p>
  </w:footnote>
  <w:footnote w:id="38">
    <w:p w:rsidR="005273ED" w:rsidRDefault="005273ED" w:rsidP="00C07F07">
      <w:pPr>
        <w:spacing w:after="0" w:line="240" w:lineRule="auto"/>
        <w:jc w:val="both"/>
      </w:pPr>
      <w:r w:rsidRPr="00C07F07">
        <w:rPr>
          <w:rStyle w:val="Appelnotedebasdep"/>
          <w:rFonts w:ascii="Times New Roman" w:hAnsi="Times New Roman"/>
          <w:sz w:val="20"/>
          <w:szCs w:val="20"/>
        </w:rPr>
        <w:footnoteRef/>
      </w:r>
      <w:r w:rsidRPr="00C07F07">
        <w:rPr>
          <w:rFonts w:ascii="Times New Roman" w:hAnsi="Times New Roman" w:cs="Times New Roman"/>
          <w:sz w:val="20"/>
          <w:szCs w:val="20"/>
        </w:rPr>
        <w:t xml:space="preserve"> E. Gaillard, A</w:t>
      </w:r>
      <w:r w:rsidRPr="00C07F07">
        <w:rPr>
          <w:rFonts w:ascii="Times New Roman" w:hAnsi="Times New Roman" w:cs="Times New Roman"/>
          <w:sz w:val="20"/>
          <w:szCs w:val="20"/>
          <w:lang w:eastAsia="fr-FR"/>
        </w:rPr>
        <w:t xml:space="preserve">rbitrage commercial international – Convention d'arbitrage, </w:t>
      </w:r>
      <w:proofErr w:type="spellStart"/>
      <w:r w:rsidRPr="00C07F07">
        <w:rPr>
          <w:rFonts w:ascii="Times New Roman" w:hAnsi="Times New Roman" w:cs="Times New Roman"/>
          <w:i/>
          <w:iCs/>
          <w:sz w:val="20"/>
          <w:szCs w:val="20"/>
          <w:lang w:eastAsia="fr-FR"/>
        </w:rPr>
        <w:t>JurisClasseur</w:t>
      </w:r>
      <w:proofErr w:type="spellEnd"/>
      <w:r w:rsidRPr="00C07F07">
        <w:rPr>
          <w:rFonts w:ascii="Times New Roman" w:hAnsi="Times New Roman" w:cs="Times New Roman"/>
          <w:i/>
          <w:iCs/>
          <w:sz w:val="20"/>
          <w:szCs w:val="20"/>
          <w:lang w:eastAsia="fr-FR"/>
        </w:rPr>
        <w:t xml:space="preserve"> Droit international</w:t>
      </w:r>
      <w:r w:rsidRPr="00C07F07">
        <w:rPr>
          <w:rFonts w:ascii="Times New Roman" w:hAnsi="Times New Roman" w:cs="Times New Roman"/>
          <w:sz w:val="20"/>
          <w:szCs w:val="20"/>
          <w:lang w:eastAsia="fr-FR"/>
        </w:rPr>
        <w:t>, Fasc. 586-3, n°16.</w:t>
      </w:r>
      <w:bookmarkStart w:id="0" w:name="ORIGHIT_4"/>
      <w:bookmarkStart w:id="1" w:name="HIT_4"/>
      <w:bookmarkEnd w:id="0"/>
      <w:bookmarkEnd w:id="1"/>
    </w:p>
  </w:footnote>
  <w:footnote w:id="39">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w:t>
      </w:r>
      <w:proofErr w:type="spellStart"/>
      <w:r w:rsidRPr="00C07F07">
        <w:rPr>
          <w:rFonts w:ascii="Times New Roman" w:hAnsi="Times New Roman" w:cs="Times New Roman"/>
        </w:rPr>
        <w:t>Meziou</w:t>
      </w:r>
      <w:proofErr w:type="spellEnd"/>
      <w:r w:rsidRPr="00C07F07">
        <w:rPr>
          <w:rFonts w:ascii="Times New Roman" w:hAnsi="Times New Roman" w:cs="Times New Roman"/>
        </w:rPr>
        <w:t xml:space="preserve"> et </w:t>
      </w:r>
      <w:proofErr w:type="spellStart"/>
      <w:r w:rsidRPr="00C07F07">
        <w:rPr>
          <w:rFonts w:ascii="Times New Roman" w:hAnsi="Times New Roman" w:cs="Times New Roman"/>
        </w:rPr>
        <w:t>Mezghani</w:t>
      </w:r>
      <w:proofErr w:type="spellEnd"/>
      <w:r w:rsidRPr="00C07F07">
        <w:rPr>
          <w:rFonts w:ascii="Times New Roman" w:hAnsi="Times New Roman" w:cs="Times New Roman"/>
        </w:rPr>
        <w:t xml:space="preserve">, article précitée, p. 523 </w:t>
      </w:r>
    </w:p>
  </w:footnote>
  <w:footnote w:id="40">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Sur l’internationalité,  voir S. </w:t>
      </w:r>
      <w:proofErr w:type="spellStart"/>
      <w:r w:rsidRPr="00C07F07">
        <w:rPr>
          <w:rFonts w:ascii="Times New Roman" w:hAnsi="Times New Roman" w:cs="Times New Roman"/>
        </w:rPr>
        <w:t>Bostanji</w:t>
      </w:r>
      <w:proofErr w:type="spellEnd"/>
      <w:r w:rsidRPr="00C07F07">
        <w:rPr>
          <w:rFonts w:ascii="Times New Roman" w:hAnsi="Times New Roman" w:cs="Times New Roman"/>
        </w:rPr>
        <w:t xml:space="preserve">, Internationalité de l'arbitrage : éclairages sur les errances normatives du système juridique tunisien, in Droits et Culture, Mélanges en l'honneur du Doyen </w:t>
      </w:r>
      <w:proofErr w:type="spellStart"/>
      <w:r w:rsidRPr="00C07F07">
        <w:rPr>
          <w:rFonts w:ascii="Times New Roman" w:hAnsi="Times New Roman" w:cs="Times New Roman"/>
        </w:rPr>
        <w:t>Yadh</w:t>
      </w:r>
      <w:proofErr w:type="spellEnd"/>
      <w:r w:rsidRPr="00C07F07">
        <w:rPr>
          <w:rFonts w:ascii="Times New Roman" w:hAnsi="Times New Roman" w:cs="Times New Roman"/>
        </w:rPr>
        <w:t xml:space="preserve"> Ben Achour, CPU, 2008, pp 1281 et s</w:t>
      </w:r>
    </w:p>
  </w:footnote>
  <w:footnote w:id="41">
    <w:p w:rsidR="005273ED" w:rsidRDefault="005273ED" w:rsidP="00C07F07">
      <w:pPr>
        <w:autoSpaceDE w:val="0"/>
        <w:autoSpaceDN w:val="0"/>
        <w:adjustRightInd w:val="0"/>
        <w:spacing w:after="0" w:line="240" w:lineRule="auto"/>
        <w:jc w:val="both"/>
      </w:pPr>
      <w:r w:rsidRPr="00C07F07">
        <w:rPr>
          <w:rStyle w:val="Appelnotedebasdep"/>
          <w:rFonts w:ascii="Times New Roman" w:hAnsi="Times New Roman"/>
          <w:sz w:val="20"/>
          <w:szCs w:val="20"/>
        </w:rPr>
        <w:footnoteRef/>
      </w:r>
      <w:r w:rsidRPr="00C07F07">
        <w:rPr>
          <w:rFonts w:ascii="Times New Roman" w:hAnsi="Times New Roman" w:cs="Times New Roman"/>
          <w:sz w:val="20"/>
          <w:szCs w:val="20"/>
        </w:rPr>
        <w:t xml:space="preserve"> </w:t>
      </w:r>
      <w:proofErr w:type="spellStart"/>
      <w:r w:rsidRPr="00C07F07">
        <w:rPr>
          <w:rFonts w:ascii="Times New Roman" w:hAnsi="Times New Roman" w:cs="Times New Roman"/>
          <w:sz w:val="20"/>
          <w:szCs w:val="20"/>
        </w:rPr>
        <w:t>Meziou</w:t>
      </w:r>
      <w:proofErr w:type="spellEnd"/>
      <w:r w:rsidRPr="00C07F07">
        <w:rPr>
          <w:rFonts w:ascii="Times New Roman" w:hAnsi="Times New Roman" w:cs="Times New Roman"/>
          <w:sz w:val="20"/>
          <w:szCs w:val="20"/>
        </w:rPr>
        <w:t xml:space="preserve"> et </w:t>
      </w:r>
      <w:proofErr w:type="spellStart"/>
      <w:r w:rsidRPr="00C07F07">
        <w:rPr>
          <w:rFonts w:ascii="Times New Roman" w:hAnsi="Times New Roman" w:cs="Times New Roman"/>
          <w:sz w:val="20"/>
          <w:szCs w:val="20"/>
        </w:rPr>
        <w:t>Mezghani</w:t>
      </w:r>
      <w:proofErr w:type="spellEnd"/>
      <w:r w:rsidRPr="00C07F07">
        <w:rPr>
          <w:rFonts w:ascii="Times New Roman" w:hAnsi="Times New Roman" w:cs="Times New Roman"/>
          <w:sz w:val="20"/>
          <w:szCs w:val="20"/>
        </w:rPr>
        <w:t xml:space="preserve">, article précitée, p. 523, voir aussi sur la question L. </w:t>
      </w:r>
      <w:proofErr w:type="spellStart"/>
      <w:r w:rsidRPr="00C07F07">
        <w:rPr>
          <w:rFonts w:ascii="Times New Roman" w:hAnsi="Times New Roman" w:cs="Times New Roman"/>
          <w:sz w:val="20"/>
          <w:szCs w:val="20"/>
        </w:rPr>
        <w:t>Chedly</w:t>
      </w:r>
      <w:proofErr w:type="spellEnd"/>
      <w:r w:rsidRPr="00C07F07">
        <w:rPr>
          <w:rFonts w:ascii="Times New Roman" w:hAnsi="Times New Roman" w:cs="Times New Roman"/>
          <w:sz w:val="20"/>
          <w:szCs w:val="20"/>
        </w:rPr>
        <w:t xml:space="preserve">, Une lecture de l’article 7-5° du Code tunisien de l’arbitrage, intervention lors du Colloque organisé par l’Association tunisienne des sciences administratives, intitulé : L’administration et son droit : quelles mutations ? Faculté des sciences juridiques, politiques et sociales de Tunis, 18-19 avril 2002 : </w:t>
      </w:r>
      <w:r w:rsidRPr="00C07F07">
        <w:rPr>
          <w:rFonts w:ascii="Times New Roman" w:hAnsi="Times New Roman" w:cs="Times New Roman"/>
          <w:i/>
          <w:iCs/>
          <w:sz w:val="20"/>
          <w:szCs w:val="20"/>
        </w:rPr>
        <w:t>Revue Études juridiques</w:t>
      </w:r>
      <w:r w:rsidRPr="00C07F07">
        <w:rPr>
          <w:rFonts w:ascii="Times New Roman" w:hAnsi="Times New Roman" w:cs="Times New Roman"/>
          <w:sz w:val="20"/>
          <w:szCs w:val="20"/>
        </w:rPr>
        <w:t xml:space="preserve"> 2006, n° 13, p. 179 et s.</w:t>
      </w:r>
    </w:p>
  </w:footnote>
  <w:footnote w:id="42">
    <w:p w:rsidR="005273ED" w:rsidRDefault="005273ED" w:rsidP="00C07F07">
      <w:pPr>
        <w:spacing w:after="0" w:line="240" w:lineRule="auto"/>
        <w:jc w:val="both"/>
      </w:pPr>
      <w:r w:rsidRPr="00C07F07">
        <w:rPr>
          <w:rStyle w:val="Appelnotedebasdep"/>
          <w:rFonts w:ascii="Times New Roman" w:hAnsi="Times New Roman"/>
          <w:sz w:val="20"/>
          <w:szCs w:val="20"/>
        </w:rPr>
        <w:footnoteRef/>
      </w:r>
      <w:r w:rsidRPr="00C07F07">
        <w:rPr>
          <w:rFonts w:ascii="Times New Roman" w:hAnsi="Times New Roman" w:cs="Times New Roman"/>
          <w:sz w:val="20"/>
          <w:szCs w:val="20"/>
        </w:rPr>
        <w:t xml:space="preserve"> </w:t>
      </w:r>
      <w:r w:rsidRPr="00C07F07">
        <w:rPr>
          <w:rFonts w:ascii="Times New Roman" w:hAnsi="Times New Roman" w:cs="Times New Roman"/>
          <w:sz w:val="20"/>
          <w:szCs w:val="20"/>
          <w:lang w:eastAsia="fr-FR"/>
        </w:rPr>
        <w:t xml:space="preserve">Cour d'appel de Tunis, Décision du 19 mai 2009 affaire n° 69135, </w:t>
      </w:r>
      <w:r w:rsidRPr="00C07F07">
        <w:rPr>
          <w:rFonts w:ascii="Times New Roman" w:hAnsi="Times New Roman" w:cs="Times New Roman"/>
          <w:i/>
          <w:iCs/>
          <w:sz w:val="20"/>
          <w:szCs w:val="20"/>
          <w:lang w:eastAsia="fr-FR"/>
        </w:rPr>
        <w:t>chef du contentieux de l'Etat pour le compte du ministère de l'agriculture c</w:t>
      </w:r>
      <w:proofErr w:type="gramStart"/>
      <w:r w:rsidRPr="00C07F07">
        <w:rPr>
          <w:rFonts w:ascii="Times New Roman" w:hAnsi="Times New Roman" w:cs="Times New Roman"/>
          <w:i/>
          <w:iCs/>
          <w:sz w:val="20"/>
          <w:szCs w:val="20"/>
          <w:lang w:eastAsia="fr-FR"/>
        </w:rPr>
        <w:t>./</w:t>
      </w:r>
      <w:proofErr w:type="gramEnd"/>
      <w:r w:rsidRPr="00C07F07">
        <w:rPr>
          <w:rFonts w:ascii="Times New Roman" w:hAnsi="Times New Roman" w:cs="Times New Roman"/>
          <w:i/>
          <w:iCs/>
          <w:sz w:val="20"/>
          <w:szCs w:val="20"/>
          <w:lang w:eastAsia="fr-FR"/>
        </w:rPr>
        <w:t xml:space="preserve"> Groupement </w:t>
      </w:r>
      <w:proofErr w:type="spellStart"/>
      <w:r w:rsidRPr="00C07F07">
        <w:rPr>
          <w:rFonts w:ascii="Times New Roman" w:hAnsi="Times New Roman" w:cs="Times New Roman"/>
          <w:i/>
          <w:iCs/>
          <w:sz w:val="20"/>
          <w:szCs w:val="20"/>
          <w:lang w:eastAsia="fr-FR"/>
        </w:rPr>
        <w:t>Ferrovial</w:t>
      </w:r>
      <w:proofErr w:type="spellEnd"/>
      <w:r w:rsidRPr="00C07F07">
        <w:rPr>
          <w:rFonts w:ascii="Times New Roman" w:hAnsi="Times New Roman" w:cs="Times New Roman"/>
          <w:i/>
          <w:iCs/>
          <w:sz w:val="20"/>
          <w:szCs w:val="20"/>
          <w:lang w:eastAsia="fr-FR"/>
        </w:rPr>
        <w:t>-COMATRA (</w:t>
      </w:r>
      <w:proofErr w:type="spellStart"/>
      <w:r w:rsidRPr="00C07F07">
        <w:rPr>
          <w:rFonts w:ascii="Times New Roman" w:hAnsi="Times New Roman" w:cs="Times New Roman"/>
          <w:i/>
          <w:iCs/>
          <w:sz w:val="20"/>
          <w:szCs w:val="20"/>
          <w:lang w:eastAsia="fr-FR"/>
        </w:rPr>
        <w:t>Ferrocom</w:t>
      </w:r>
      <w:proofErr w:type="spellEnd"/>
      <w:r w:rsidRPr="00C07F07">
        <w:rPr>
          <w:rFonts w:ascii="Times New Roman" w:hAnsi="Times New Roman" w:cs="Times New Roman"/>
          <w:sz w:val="20"/>
          <w:szCs w:val="20"/>
          <w:lang w:eastAsia="fr-FR"/>
        </w:rPr>
        <w:t xml:space="preserve">). </w:t>
      </w:r>
      <w:r w:rsidRPr="00C07F07">
        <w:rPr>
          <w:rFonts w:ascii="Times New Roman" w:hAnsi="Times New Roman" w:cs="Times New Roman"/>
          <w:sz w:val="20"/>
          <w:szCs w:val="20"/>
        </w:rPr>
        <w:t xml:space="preserve">Voir sur cet arrêt, le commentaire de L., </w:t>
      </w:r>
      <w:proofErr w:type="spellStart"/>
      <w:r w:rsidRPr="00C07F07">
        <w:rPr>
          <w:rFonts w:ascii="Times New Roman" w:hAnsi="Times New Roman" w:cs="Times New Roman"/>
          <w:sz w:val="20"/>
          <w:szCs w:val="20"/>
        </w:rPr>
        <w:t>Chedly</w:t>
      </w:r>
      <w:proofErr w:type="spellEnd"/>
      <w:r w:rsidRPr="00C07F07">
        <w:rPr>
          <w:rFonts w:ascii="Times New Roman" w:hAnsi="Times New Roman" w:cs="Times New Roman"/>
          <w:sz w:val="20"/>
          <w:szCs w:val="20"/>
        </w:rPr>
        <w:t xml:space="preserve"> (en arabe), </w:t>
      </w:r>
      <w:r w:rsidRPr="00C07F07">
        <w:rPr>
          <w:rFonts w:ascii="Times New Roman" w:hAnsi="Times New Roman" w:cs="Times New Roman"/>
          <w:i/>
          <w:iCs/>
          <w:sz w:val="20"/>
          <w:szCs w:val="20"/>
        </w:rPr>
        <w:t>Revue d’arbitrage international</w:t>
      </w:r>
      <w:r w:rsidRPr="00C07F07">
        <w:rPr>
          <w:rFonts w:ascii="Times New Roman" w:hAnsi="Times New Roman" w:cs="Times New Roman"/>
          <w:sz w:val="20"/>
          <w:szCs w:val="20"/>
        </w:rPr>
        <w:t xml:space="preserve">, 2011, n°10, p. 255. </w:t>
      </w:r>
    </w:p>
  </w:footnote>
  <w:footnote w:id="43">
    <w:p w:rsidR="005273ED" w:rsidRDefault="005273ED" w:rsidP="00C07F07">
      <w:pPr>
        <w:spacing w:after="0" w:line="240" w:lineRule="auto"/>
        <w:jc w:val="both"/>
      </w:pPr>
      <w:r w:rsidRPr="00C07F07">
        <w:rPr>
          <w:rStyle w:val="Appelnotedebasdep"/>
          <w:rFonts w:ascii="Times New Roman" w:hAnsi="Times New Roman"/>
          <w:sz w:val="20"/>
          <w:szCs w:val="20"/>
        </w:rPr>
        <w:footnoteRef/>
      </w:r>
      <w:r w:rsidRPr="00C07F07">
        <w:rPr>
          <w:rFonts w:ascii="Times New Roman" w:hAnsi="Times New Roman" w:cs="Times New Roman"/>
          <w:sz w:val="20"/>
          <w:szCs w:val="20"/>
        </w:rPr>
        <w:t xml:space="preserve"> La jurisprudence tunisienne antérieure au code de l’arbitrage a considéré qu’une personne morale de droit public ne pouvait se prévaloir des dispositions de son droit national pour échapper à l'application de conventions d'</w:t>
      </w:r>
      <w:bookmarkStart w:id="2" w:name="ORIGHIT_2"/>
      <w:bookmarkStart w:id="3" w:name="HIT_2"/>
      <w:bookmarkEnd w:id="2"/>
      <w:bookmarkEnd w:id="3"/>
      <w:r w:rsidRPr="00C07F07">
        <w:rPr>
          <w:rStyle w:val="hit"/>
          <w:rFonts w:ascii="Times New Roman" w:hAnsi="Times New Roman"/>
          <w:sz w:val="20"/>
          <w:szCs w:val="20"/>
        </w:rPr>
        <w:t>arbitrage</w:t>
      </w:r>
      <w:r w:rsidRPr="00C07F07">
        <w:rPr>
          <w:rFonts w:ascii="Times New Roman" w:hAnsi="Times New Roman" w:cs="Times New Roman"/>
          <w:sz w:val="20"/>
          <w:szCs w:val="20"/>
        </w:rPr>
        <w:t xml:space="preserve"> auxquelles elles étaient parties. En particulier, le Tribunal de première instance de Tunis a estimé, dans un arrêt du 17 octobre 1987, à propos d'un marché de travaux publics conclu entre une société française et l'État tunisien que les dispositions limitant l'aptitude de l'État et des collectivités publiques à compromettre n'étaient pas applicables aux relations internationales pour lesquelles il ne fallait se référer qu'aux « </w:t>
      </w:r>
      <w:r w:rsidRPr="00C07F07">
        <w:rPr>
          <w:rFonts w:ascii="Times New Roman" w:hAnsi="Times New Roman" w:cs="Times New Roman"/>
          <w:i/>
          <w:iCs/>
          <w:sz w:val="20"/>
          <w:szCs w:val="20"/>
        </w:rPr>
        <w:t>règles du commerce international, aux traditions et usages en la matière, seuls applicables aux relations entre les parties</w:t>
      </w:r>
      <w:r w:rsidRPr="00C07F07">
        <w:rPr>
          <w:rFonts w:ascii="Times New Roman" w:hAnsi="Times New Roman" w:cs="Times New Roman"/>
          <w:sz w:val="20"/>
          <w:szCs w:val="20"/>
        </w:rPr>
        <w:t xml:space="preserve"> ».  </w:t>
      </w:r>
      <w:r w:rsidRPr="00C07F07">
        <w:rPr>
          <w:rStyle w:val="italic"/>
          <w:rFonts w:ascii="Times New Roman" w:hAnsi="Times New Roman"/>
          <w:sz w:val="20"/>
          <w:szCs w:val="20"/>
        </w:rPr>
        <w:t>(</w:t>
      </w:r>
      <w:r w:rsidRPr="00C07F07">
        <w:rPr>
          <w:rStyle w:val="italic"/>
          <w:rFonts w:ascii="Times New Roman" w:hAnsi="Times New Roman"/>
          <w:i/>
          <w:iCs/>
          <w:sz w:val="20"/>
          <w:szCs w:val="20"/>
        </w:rPr>
        <w:t>BEC-GTAF c/ État Tunisien</w:t>
      </w:r>
      <w:r w:rsidRPr="00C07F07">
        <w:rPr>
          <w:rStyle w:val="italic"/>
          <w:rFonts w:ascii="Times New Roman" w:hAnsi="Times New Roman"/>
          <w:sz w:val="20"/>
          <w:szCs w:val="20"/>
        </w:rPr>
        <w:t xml:space="preserve"> , </w:t>
      </w:r>
      <w:r w:rsidRPr="00C07F07">
        <w:rPr>
          <w:rStyle w:val="italic"/>
          <w:rFonts w:ascii="Times New Roman" w:hAnsi="Times New Roman"/>
          <w:i/>
          <w:iCs/>
          <w:sz w:val="20"/>
          <w:szCs w:val="20"/>
        </w:rPr>
        <w:t>Revue de l’arbitrage</w:t>
      </w:r>
      <w:r w:rsidRPr="00C07F07">
        <w:rPr>
          <w:rStyle w:val="italic"/>
          <w:rFonts w:ascii="Times New Roman" w:hAnsi="Times New Roman"/>
          <w:sz w:val="20"/>
          <w:szCs w:val="20"/>
        </w:rPr>
        <w:t xml:space="preserve"> 1988, p. 732, note F. </w:t>
      </w:r>
      <w:proofErr w:type="spellStart"/>
      <w:r w:rsidRPr="00C07F07">
        <w:rPr>
          <w:rStyle w:val="italic"/>
          <w:rFonts w:ascii="Times New Roman" w:hAnsi="Times New Roman"/>
          <w:sz w:val="20"/>
          <w:szCs w:val="20"/>
        </w:rPr>
        <w:t>Mechri</w:t>
      </w:r>
      <w:proofErr w:type="spellEnd"/>
      <w:r w:rsidRPr="00C07F07">
        <w:rPr>
          <w:rStyle w:val="italic"/>
          <w:rFonts w:ascii="Times New Roman" w:hAnsi="Times New Roman"/>
          <w:sz w:val="20"/>
          <w:szCs w:val="20"/>
        </w:rPr>
        <w:t> ; maintenu par CA Tunis, 1</w:t>
      </w:r>
      <w:r w:rsidRPr="00C07F07">
        <w:rPr>
          <w:rStyle w:val="italic"/>
          <w:rFonts w:ascii="Times New Roman" w:hAnsi="Times New Roman"/>
          <w:sz w:val="20"/>
          <w:szCs w:val="20"/>
          <w:vertAlign w:val="superscript"/>
        </w:rPr>
        <w:t>er</w:t>
      </w:r>
      <w:r w:rsidRPr="00C07F07">
        <w:rPr>
          <w:rStyle w:val="italic"/>
          <w:rFonts w:ascii="Times New Roman" w:hAnsi="Times New Roman"/>
          <w:sz w:val="20"/>
          <w:szCs w:val="20"/>
        </w:rPr>
        <w:t xml:space="preserve"> février 1988 : même réf. Voir aussi, dans le même sens, à propos d'entreprises publiques tunisiennes, la sentence rendue dans l'affaire CCI n° 5103 de 1988 , </w:t>
      </w:r>
      <w:r w:rsidRPr="00C07F07">
        <w:rPr>
          <w:rStyle w:val="italic"/>
          <w:rFonts w:ascii="Times New Roman" w:hAnsi="Times New Roman"/>
          <w:i/>
          <w:iCs/>
          <w:sz w:val="20"/>
          <w:szCs w:val="20"/>
        </w:rPr>
        <w:t>Journal du Droit International</w:t>
      </w:r>
      <w:r w:rsidRPr="00C07F07">
        <w:rPr>
          <w:rStyle w:val="italic"/>
          <w:rFonts w:ascii="Times New Roman" w:hAnsi="Times New Roman"/>
          <w:sz w:val="20"/>
          <w:szCs w:val="20"/>
        </w:rPr>
        <w:t xml:space="preserve"> 1988, p. 1206, obs. G. </w:t>
      </w:r>
      <w:proofErr w:type="spellStart"/>
      <w:r w:rsidRPr="00C07F07">
        <w:rPr>
          <w:rStyle w:val="italic"/>
          <w:rFonts w:ascii="Times New Roman" w:hAnsi="Times New Roman"/>
          <w:sz w:val="20"/>
          <w:szCs w:val="20"/>
        </w:rPr>
        <w:t>Aguilar</w:t>
      </w:r>
      <w:proofErr w:type="spellEnd"/>
      <w:r w:rsidRPr="00C07F07">
        <w:rPr>
          <w:rStyle w:val="italic"/>
          <w:rFonts w:ascii="Times New Roman" w:hAnsi="Times New Roman"/>
          <w:sz w:val="20"/>
          <w:szCs w:val="20"/>
        </w:rPr>
        <w:t xml:space="preserve"> Alvarez, qui se fonde sur l'interprétation du </w:t>
      </w:r>
      <w:bookmarkStart w:id="4" w:name="ORIGHIT_3"/>
      <w:bookmarkStart w:id="5" w:name="HIT_3"/>
      <w:bookmarkEnd w:id="4"/>
      <w:bookmarkEnd w:id="5"/>
      <w:r w:rsidRPr="00C07F07">
        <w:rPr>
          <w:rStyle w:val="italic"/>
          <w:rFonts w:ascii="Times New Roman" w:hAnsi="Times New Roman"/>
          <w:sz w:val="20"/>
          <w:szCs w:val="20"/>
        </w:rPr>
        <w:t xml:space="preserve">droit tunisien et à titre subsidiaire sur les règles internationales, cité par E. Gaillard, </w:t>
      </w:r>
      <w:proofErr w:type="spellStart"/>
      <w:r w:rsidRPr="00C07F07">
        <w:rPr>
          <w:rStyle w:val="italic"/>
          <w:rFonts w:ascii="Times New Roman" w:hAnsi="Times New Roman"/>
          <w:sz w:val="20"/>
          <w:szCs w:val="20"/>
        </w:rPr>
        <w:t>Jurisclasseur</w:t>
      </w:r>
      <w:proofErr w:type="spellEnd"/>
      <w:r w:rsidRPr="00C07F07">
        <w:rPr>
          <w:rStyle w:val="italic"/>
          <w:rFonts w:ascii="Times New Roman" w:hAnsi="Times New Roman"/>
          <w:sz w:val="20"/>
          <w:szCs w:val="20"/>
        </w:rPr>
        <w:t xml:space="preserve"> précité.</w:t>
      </w:r>
    </w:p>
  </w:footnote>
  <w:footnote w:id="44">
    <w:p w:rsidR="005273ED" w:rsidRDefault="005273ED" w:rsidP="00A9114D">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A. </w:t>
      </w:r>
      <w:proofErr w:type="spellStart"/>
      <w:r w:rsidRPr="00C07F07">
        <w:rPr>
          <w:rFonts w:ascii="Times New Roman" w:hAnsi="Times New Roman" w:cs="Times New Roman"/>
        </w:rPr>
        <w:t>Ouerfelli</w:t>
      </w:r>
      <w:proofErr w:type="spellEnd"/>
      <w:r w:rsidRPr="00C07F07">
        <w:rPr>
          <w:rFonts w:ascii="Times New Roman" w:hAnsi="Times New Roman" w:cs="Times New Roman"/>
        </w:rPr>
        <w:t>, ouvrage précité, p.123</w:t>
      </w:r>
    </w:p>
  </w:footnote>
  <w:footnote w:id="45">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Voir pour les critiques,  A. </w:t>
      </w:r>
      <w:proofErr w:type="spellStart"/>
      <w:r w:rsidRPr="00C07F07">
        <w:rPr>
          <w:rFonts w:ascii="Times New Roman" w:hAnsi="Times New Roman" w:cs="Times New Roman"/>
        </w:rPr>
        <w:t>Ourefelli</w:t>
      </w:r>
      <w:proofErr w:type="spellEnd"/>
      <w:r w:rsidRPr="00C07F07">
        <w:rPr>
          <w:rFonts w:ascii="Times New Roman" w:hAnsi="Times New Roman" w:cs="Times New Roman"/>
        </w:rPr>
        <w:t>, ouvrage précité, p. 121.</w:t>
      </w:r>
    </w:p>
  </w:footnote>
  <w:footnote w:id="46">
    <w:p w:rsidR="005273ED" w:rsidRDefault="005273ED" w:rsidP="00C07F0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A. </w:t>
      </w:r>
      <w:proofErr w:type="spellStart"/>
      <w:r w:rsidRPr="00C07F07">
        <w:rPr>
          <w:rFonts w:ascii="Times New Roman" w:hAnsi="Times New Roman" w:cs="Times New Roman"/>
        </w:rPr>
        <w:t>Ourefelli</w:t>
      </w:r>
      <w:proofErr w:type="spellEnd"/>
      <w:r w:rsidRPr="00C07F07">
        <w:rPr>
          <w:rFonts w:ascii="Times New Roman" w:hAnsi="Times New Roman" w:cs="Times New Roman"/>
        </w:rPr>
        <w:t xml:space="preserve">, ouvrage précité, p. 123. </w:t>
      </w:r>
    </w:p>
  </w:footnote>
  <w:footnote w:id="47">
    <w:p w:rsidR="005273ED" w:rsidRDefault="005273ED" w:rsidP="001B7167">
      <w:pPr>
        <w:pStyle w:val="Notedebasdepage"/>
        <w:jc w:val="both"/>
      </w:pPr>
      <w:r w:rsidRPr="00C07F07">
        <w:rPr>
          <w:rStyle w:val="Appelnotedebasdep"/>
          <w:rFonts w:ascii="Times New Roman" w:hAnsi="Times New Roman"/>
        </w:rPr>
        <w:footnoteRef/>
      </w:r>
      <w:r w:rsidRPr="00C07F07">
        <w:rPr>
          <w:rFonts w:ascii="Times New Roman" w:hAnsi="Times New Roman" w:cs="Times New Roman"/>
        </w:rPr>
        <w:t xml:space="preserve"> K. </w:t>
      </w:r>
      <w:proofErr w:type="spellStart"/>
      <w:r w:rsidRPr="00C07F07">
        <w:rPr>
          <w:rFonts w:ascii="Times New Roman" w:hAnsi="Times New Roman" w:cs="Times New Roman"/>
        </w:rPr>
        <w:t>Meziou</w:t>
      </w:r>
      <w:proofErr w:type="spellEnd"/>
      <w:r w:rsidRPr="00C07F07">
        <w:rPr>
          <w:rFonts w:ascii="Times New Roman" w:hAnsi="Times New Roman" w:cs="Times New Roman"/>
        </w:rPr>
        <w:t xml:space="preserve">, </w:t>
      </w:r>
      <w:r>
        <w:rPr>
          <w:rFonts w:ascii="Times New Roman" w:hAnsi="Times New Roman" w:cs="Times New Roman"/>
        </w:rPr>
        <w:t>I</w:t>
      </w:r>
      <w:r w:rsidRPr="00C07F07">
        <w:rPr>
          <w:rFonts w:ascii="Times New Roman" w:hAnsi="Times New Roman" w:cs="Times New Roman"/>
        </w:rPr>
        <w:t>ntervention précitée</w:t>
      </w:r>
      <w:r>
        <w:rPr>
          <w:rFonts w:ascii="Times New Roman" w:hAnsi="Times New Roman" w:cs="Times New Roman"/>
        </w:rPr>
        <w:t xml:space="preserve">, </w:t>
      </w:r>
      <w:r w:rsidRPr="00C07F07">
        <w:rPr>
          <w:rFonts w:ascii="Times New Roman" w:hAnsi="Times New Roman" w:cs="Times New Roman"/>
        </w:rPr>
        <w:t>Colloque de la Cour de cassation à Paris, 13 juin 2007</w:t>
      </w:r>
      <w:r>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65C2"/>
    <w:multiLevelType w:val="hybridMultilevel"/>
    <w:tmpl w:val="F63A98FC"/>
    <w:lvl w:ilvl="0" w:tplc="36247036">
      <w:start w:val="2"/>
      <w:numFmt w:val="decimal"/>
      <w:lvlText w:val="%1."/>
      <w:lvlJc w:val="left"/>
      <w:pPr>
        <w:tabs>
          <w:tab w:val="num" w:pos="720"/>
        </w:tabs>
        <w:ind w:left="720" w:hanging="360"/>
      </w:pPr>
      <w:rPr>
        <w:rFonts w:cs="Times New Roman" w:hint="default"/>
      </w:rPr>
    </w:lvl>
    <w:lvl w:ilvl="1" w:tplc="88382D9C">
      <w:start w:val="2"/>
      <w:numFmt w:val="upperRoman"/>
      <w:lvlText w:val="%2."/>
      <w:lvlJc w:val="left"/>
      <w:pPr>
        <w:tabs>
          <w:tab w:val="num" w:pos="720"/>
        </w:tabs>
        <w:ind w:left="720" w:hanging="72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1659126F"/>
    <w:multiLevelType w:val="hybridMultilevel"/>
    <w:tmpl w:val="EA9AD39C"/>
    <w:lvl w:ilvl="0" w:tplc="B986D7C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CD67FBC"/>
    <w:multiLevelType w:val="hybridMultilevel"/>
    <w:tmpl w:val="29726190"/>
    <w:lvl w:ilvl="0" w:tplc="72B0255C">
      <w:start w:val="1"/>
      <w:numFmt w:val="decimal"/>
      <w:lvlText w:val="%1."/>
      <w:lvlJc w:val="left"/>
      <w:pPr>
        <w:tabs>
          <w:tab w:val="num" w:pos="0"/>
        </w:tabs>
      </w:pPr>
      <w:rPr>
        <w:rFonts w:cs="Times New Roman" w:hint="default"/>
        <w:b/>
        <w:bCs/>
      </w:rPr>
    </w:lvl>
    <w:lvl w:ilvl="1" w:tplc="FE8CE662">
      <w:start w:val="1"/>
      <w:numFmt w:val="upperRoman"/>
      <w:lvlText w:val="%2."/>
      <w:lvlJc w:val="left"/>
      <w:pPr>
        <w:tabs>
          <w:tab w:val="num" w:pos="720"/>
        </w:tabs>
        <w:ind w:left="720" w:hanging="720"/>
      </w:pPr>
      <w:rPr>
        <w:rFonts w:cs="Times New Roman" w:hint="default"/>
      </w:rPr>
    </w:lvl>
    <w:lvl w:ilvl="2" w:tplc="55FAD4A4">
      <w:start w:val="1"/>
      <w:numFmt w:val="decimal"/>
      <w:lvlText w:val="%3)"/>
      <w:lvlJc w:val="left"/>
      <w:pPr>
        <w:tabs>
          <w:tab w:val="num" w:pos="360"/>
        </w:tabs>
        <w:ind w:left="360" w:hanging="36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1EBC4B5E"/>
    <w:multiLevelType w:val="singleLevel"/>
    <w:tmpl w:val="C53C411E"/>
    <w:lvl w:ilvl="0">
      <w:start w:val="1"/>
      <w:numFmt w:val="decimal"/>
      <w:pStyle w:val="Corpsdetexte"/>
      <w:lvlText w:val="%1."/>
      <w:lvlJc w:val="left"/>
      <w:pPr>
        <w:tabs>
          <w:tab w:val="num" w:pos="360"/>
        </w:tabs>
      </w:pPr>
      <w:rPr>
        <w:rFonts w:cs="Times New Roman"/>
        <w:b/>
        <w:i w:val="0"/>
        <w:sz w:val="24"/>
      </w:rPr>
    </w:lvl>
  </w:abstractNum>
  <w:abstractNum w:abstractNumId="4">
    <w:nsid w:val="25126D6F"/>
    <w:multiLevelType w:val="hybridMultilevel"/>
    <w:tmpl w:val="F8521B6E"/>
    <w:lvl w:ilvl="0" w:tplc="5F28E984">
      <w:start w:val="1"/>
      <w:numFmt w:val="decimal"/>
      <w:lvlText w:val="%1."/>
      <w:lvlJc w:val="left"/>
      <w:pPr>
        <w:tabs>
          <w:tab w:val="num" w:pos="1065"/>
        </w:tabs>
        <w:ind w:left="1065" w:hanging="360"/>
      </w:pPr>
      <w:rPr>
        <w:rFonts w:cs="Times New Roman" w:hint="default"/>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abstractNum w:abstractNumId="5">
    <w:nsid w:val="2C916D54"/>
    <w:multiLevelType w:val="multilevel"/>
    <w:tmpl w:val="518E15D6"/>
    <w:lvl w:ilvl="0">
      <w:start w:val="1"/>
      <w:numFmt w:val="decimal"/>
      <w:lvlText w:val="%1."/>
      <w:lvlJc w:val="left"/>
      <w:pPr>
        <w:tabs>
          <w:tab w:val="num" w:pos="0"/>
        </w:tabs>
      </w:pPr>
      <w:rPr>
        <w:rFonts w:cs="Times New Roman" w:hint="default"/>
      </w:rPr>
    </w:lvl>
    <w:lvl w:ilvl="1">
      <w:start w:val="1"/>
      <w:numFmt w:val="upperRoman"/>
      <w:lvlText w:val="%2."/>
      <w:lvlJc w:val="left"/>
      <w:pPr>
        <w:tabs>
          <w:tab w:val="num" w:pos="720"/>
        </w:tabs>
        <w:ind w:left="72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6825767"/>
    <w:multiLevelType w:val="hybridMultilevel"/>
    <w:tmpl w:val="EA9AD39C"/>
    <w:lvl w:ilvl="0" w:tplc="B986D7C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36BB6E3B"/>
    <w:multiLevelType w:val="hybridMultilevel"/>
    <w:tmpl w:val="1D0EFB0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435F66A0"/>
    <w:multiLevelType w:val="hybridMultilevel"/>
    <w:tmpl w:val="AA867F84"/>
    <w:lvl w:ilvl="0" w:tplc="1C787C64">
      <w:start w:val="1"/>
      <w:numFmt w:val="decimal"/>
      <w:lvlText w:val="%1."/>
      <w:lvlJc w:val="left"/>
      <w:pPr>
        <w:tabs>
          <w:tab w:val="num" w:pos="1068"/>
        </w:tabs>
        <w:ind w:left="1068" w:hanging="360"/>
      </w:pPr>
      <w:rPr>
        <w:rFonts w:cs="Times New Roman" w:hint="default"/>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9">
    <w:nsid w:val="455A45F2"/>
    <w:multiLevelType w:val="singleLevel"/>
    <w:tmpl w:val="040C0019"/>
    <w:lvl w:ilvl="0">
      <w:start w:val="1"/>
      <w:numFmt w:val="lowerLetter"/>
      <w:lvlText w:val="(%1)"/>
      <w:lvlJc w:val="left"/>
      <w:pPr>
        <w:tabs>
          <w:tab w:val="num" w:pos="360"/>
        </w:tabs>
        <w:ind w:left="360" w:hanging="360"/>
      </w:pPr>
      <w:rPr>
        <w:rFonts w:cs="Times New Roman" w:hint="default"/>
      </w:rPr>
    </w:lvl>
  </w:abstractNum>
  <w:abstractNum w:abstractNumId="10">
    <w:nsid w:val="4A920358"/>
    <w:multiLevelType w:val="hybridMultilevel"/>
    <w:tmpl w:val="2F5EB596"/>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1">
    <w:nsid w:val="50075796"/>
    <w:multiLevelType w:val="hybridMultilevel"/>
    <w:tmpl w:val="ED7EB79A"/>
    <w:lvl w:ilvl="0" w:tplc="FA4CF30E">
      <w:start w:val="2"/>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nsid w:val="7AA56F86"/>
    <w:multiLevelType w:val="singleLevel"/>
    <w:tmpl w:val="040C0017"/>
    <w:lvl w:ilvl="0">
      <w:start w:val="1"/>
      <w:numFmt w:val="lowerLetter"/>
      <w:lvlText w:val="%1)"/>
      <w:lvlJc w:val="left"/>
      <w:pPr>
        <w:tabs>
          <w:tab w:val="num" w:pos="360"/>
        </w:tabs>
        <w:ind w:left="360" w:hanging="360"/>
      </w:pPr>
      <w:rPr>
        <w:rFonts w:cs="Times New Roman" w:hint="default"/>
      </w:rPr>
    </w:lvl>
  </w:abstractNum>
  <w:num w:numId="1">
    <w:abstractNumId w:val="12"/>
  </w:num>
  <w:num w:numId="2">
    <w:abstractNumId w:val="9"/>
  </w:num>
  <w:num w:numId="3">
    <w:abstractNumId w:val="3"/>
  </w:num>
  <w:num w:numId="4">
    <w:abstractNumId w:val="1"/>
  </w:num>
  <w:num w:numId="5">
    <w:abstractNumId w:val="7"/>
  </w:num>
  <w:num w:numId="6">
    <w:abstractNumId w:val="6"/>
  </w:num>
  <w:num w:numId="7">
    <w:abstractNumId w:val="10"/>
  </w:num>
  <w:num w:numId="8">
    <w:abstractNumId w:val="2"/>
  </w:num>
  <w:num w:numId="9">
    <w:abstractNumId w:val="5"/>
  </w:num>
  <w:num w:numId="10">
    <w:abstractNumId w:val="0"/>
  </w:num>
  <w:num w:numId="11">
    <w:abstractNumId w:val="11"/>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214ED1"/>
    <w:rsid w:val="00002C99"/>
    <w:rsid w:val="0001281B"/>
    <w:rsid w:val="00014B6B"/>
    <w:rsid w:val="00017EAB"/>
    <w:rsid w:val="00023792"/>
    <w:rsid w:val="00025C23"/>
    <w:rsid w:val="00030D4F"/>
    <w:rsid w:val="000456F9"/>
    <w:rsid w:val="00046779"/>
    <w:rsid w:val="00062C61"/>
    <w:rsid w:val="00071F7F"/>
    <w:rsid w:val="000751DB"/>
    <w:rsid w:val="0008622B"/>
    <w:rsid w:val="00087809"/>
    <w:rsid w:val="00091154"/>
    <w:rsid w:val="000916B8"/>
    <w:rsid w:val="000A4D7B"/>
    <w:rsid w:val="000B332F"/>
    <w:rsid w:val="000D1AC9"/>
    <w:rsid w:val="000E2CA7"/>
    <w:rsid w:val="000E50FC"/>
    <w:rsid w:val="000E6E35"/>
    <w:rsid w:val="000F2B25"/>
    <w:rsid w:val="000F3B1C"/>
    <w:rsid w:val="000F3BC8"/>
    <w:rsid w:val="00114EC8"/>
    <w:rsid w:val="00126D75"/>
    <w:rsid w:val="00126E6B"/>
    <w:rsid w:val="00137DF9"/>
    <w:rsid w:val="0015017B"/>
    <w:rsid w:val="00150CBD"/>
    <w:rsid w:val="00153D48"/>
    <w:rsid w:val="001551E0"/>
    <w:rsid w:val="00167F36"/>
    <w:rsid w:val="00176D73"/>
    <w:rsid w:val="0018739F"/>
    <w:rsid w:val="00187EB9"/>
    <w:rsid w:val="001936E3"/>
    <w:rsid w:val="001A732E"/>
    <w:rsid w:val="001B0EAD"/>
    <w:rsid w:val="001B169D"/>
    <w:rsid w:val="001B7167"/>
    <w:rsid w:val="001C3B3F"/>
    <w:rsid w:val="001E1E9E"/>
    <w:rsid w:val="001E442E"/>
    <w:rsid w:val="001E641C"/>
    <w:rsid w:val="001F7EF4"/>
    <w:rsid w:val="00211D80"/>
    <w:rsid w:val="00214ED1"/>
    <w:rsid w:val="002267F6"/>
    <w:rsid w:val="00232156"/>
    <w:rsid w:val="00240843"/>
    <w:rsid w:val="0024787B"/>
    <w:rsid w:val="00252DFE"/>
    <w:rsid w:val="002721E5"/>
    <w:rsid w:val="0027753A"/>
    <w:rsid w:val="00281986"/>
    <w:rsid w:val="00281DE0"/>
    <w:rsid w:val="0028266D"/>
    <w:rsid w:val="00286A39"/>
    <w:rsid w:val="00292368"/>
    <w:rsid w:val="002A6374"/>
    <w:rsid w:val="002B620F"/>
    <w:rsid w:val="002C0DB8"/>
    <w:rsid w:val="002D0679"/>
    <w:rsid w:val="002E30B6"/>
    <w:rsid w:val="0031194E"/>
    <w:rsid w:val="0031288A"/>
    <w:rsid w:val="00323822"/>
    <w:rsid w:val="0033163A"/>
    <w:rsid w:val="00341733"/>
    <w:rsid w:val="00357AA8"/>
    <w:rsid w:val="0036171B"/>
    <w:rsid w:val="0038001E"/>
    <w:rsid w:val="003A5A38"/>
    <w:rsid w:val="003A6B97"/>
    <w:rsid w:val="003B1B3F"/>
    <w:rsid w:val="003D3199"/>
    <w:rsid w:val="003D4D79"/>
    <w:rsid w:val="003E5E55"/>
    <w:rsid w:val="003E7AFD"/>
    <w:rsid w:val="00411E7D"/>
    <w:rsid w:val="00414805"/>
    <w:rsid w:val="00424353"/>
    <w:rsid w:val="00431192"/>
    <w:rsid w:val="0043242D"/>
    <w:rsid w:val="00446561"/>
    <w:rsid w:val="00446933"/>
    <w:rsid w:val="0045468D"/>
    <w:rsid w:val="00460976"/>
    <w:rsid w:val="00486C7F"/>
    <w:rsid w:val="00492F8D"/>
    <w:rsid w:val="004A1F3F"/>
    <w:rsid w:val="004B0AA4"/>
    <w:rsid w:val="004B58EF"/>
    <w:rsid w:val="004C0F20"/>
    <w:rsid w:val="004D55AA"/>
    <w:rsid w:val="00515902"/>
    <w:rsid w:val="005273ED"/>
    <w:rsid w:val="00534697"/>
    <w:rsid w:val="005358E5"/>
    <w:rsid w:val="00541932"/>
    <w:rsid w:val="00542890"/>
    <w:rsid w:val="00547A28"/>
    <w:rsid w:val="005519E8"/>
    <w:rsid w:val="00552393"/>
    <w:rsid w:val="00554ECD"/>
    <w:rsid w:val="00561474"/>
    <w:rsid w:val="0056465E"/>
    <w:rsid w:val="00574742"/>
    <w:rsid w:val="00575CF1"/>
    <w:rsid w:val="005764A0"/>
    <w:rsid w:val="00576D8F"/>
    <w:rsid w:val="00577155"/>
    <w:rsid w:val="00587FD4"/>
    <w:rsid w:val="005A10FD"/>
    <w:rsid w:val="005D3DFA"/>
    <w:rsid w:val="005F2743"/>
    <w:rsid w:val="0060031F"/>
    <w:rsid w:val="0060271D"/>
    <w:rsid w:val="00610220"/>
    <w:rsid w:val="006111DE"/>
    <w:rsid w:val="00631DFB"/>
    <w:rsid w:val="00634145"/>
    <w:rsid w:val="00651A27"/>
    <w:rsid w:val="0065406B"/>
    <w:rsid w:val="0067511E"/>
    <w:rsid w:val="0068775B"/>
    <w:rsid w:val="006A0331"/>
    <w:rsid w:val="006A1A98"/>
    <w:rsid w:val="006A5E29"/>
    <w:rsid w:val="006B2213"/>
    <w:rsid w:val="006B2AB7"/>
    <w:rsid w:val="006C33CA"/>
    <w:rsid w:val="006C347A"/>
    <w:rsid w:val="006E1C60"/>
    <w:rsid w:val="006E6379"/>
    <w:rsid w:val="006F128E"/>
    <w:rsid w:val="007009F5"/>
    <w:rsid w:val="00700B55"/>
    <w:rsid w:val="007030DB"/>
    <w:rsid w:val="0070516E"/>
    <w:rsid w:val="0070673B"/>
    <w:rsid w:val="007272E9"/>
    <w:rsid w:val="00733412"/>
    <w:rsid w:val="00737664"/>
    <w:rsid w:val="00756F19"/>
    <w:rsid w:val="00773BF1"/>
    <w:rsid w:val="007769CD"/>
    <w:rsid w:val="00786ECB"/>
    <w:rsid w:val="00791FB1"/>
    <w:rsid w:val="00796199"/>
    <w:rsid w:val="007A0D19"/>
    <w:rsid w:val="007A2EF8"/>
    <w:rsid w:val="007A4F0B"/>
    <w:rsid w:val="007B4A2C"/>
    <w:rsid w:val="007C2B72"/>
    <w:rsid w:val="007C3064"/>
    <w:rsid w:val="007C5738"/>
    <w:rsid w:val="007D3784"/>
    <w:rsid w:val="007D6196"/>
    <w:rsid w:val="007E0E3E"/>
    <w:rsid w:val="007F3FCB"/>
    <w:rsid w:val="007F5503"/>
    <w:rsid w:val="00802C0B"/>
    <w:rsid w:val="00810ED8"/>
    <w:rsid w:val="00813252"/>
    <w:rsid w:val="00816058"/>
    <w:rsid w:val="00822A8C"/>
    <w:rsid w:val="00850C1D"/>
    <w:rsid w:val="008A34C6"/>
    <w:rsid w:val="008C281E"/>
    <w:rsid w:val="008C3B3D"/>
    <w:rsid w:val="008E21F0"/>
    <w:rsid w:val="008F6E8A"/>
    <w:rsid w:val="0090042A"/>
    <w:rsid w:val="00917527"/>
    <w:rsid w:val="00924ABD"/>
    <w:rsid w:val="00932835"/>
    <w:rsid w:val="00936D7F"/>
    <w:rsid w:val="00954213"/>
    <w:rsid w:val="00964C6C"/>
    <w:rsid w:val="00967C90"/>
    <w:rsid w:val="009704DC"/>
    <w:rsid w:val="00980D68"/>
    <w:rsid w:val="00985063"/>
    <w:rsid w:val="0099516E"/>
    <w:rsid w:val="009A629E"/>
    <w:rsid w:val="009C11AE"/>
    <w:rsid w:val="009C6430"/>
    <w:rsid w:val="009E6558"/>
    <w:rsid w:val="009F057D"/>
    <w:rsid w:val="009F5E4B"/>
    <w:rsid w:val="00A01043"/>
    <w:rsid w:val="00A07EC7"/>
    <w:rsid w:val="00A20F86"/>
    <w:rsid w:val="00A321D3"/>
    <w:rsid w:val="00A367B5"/>
    <w:rsid w:val="00A53C93"/>
    <w:rsid w:val="00A663E2"/>
    <w:rsid w:val="00A80B8F"/>
    <w:rsid w:val="00A9114D"/>
    <w:rsid w:val="00A925F4"/>
    <w:rsid w:val="00AA07BB"/>
    <w:rsid w:val="00AA5E7A"/>
    <w:rsid w:val="00AC68FC"/>
    <w:rsid w:val="00AF3FC1"/>
    <w:rsid w:val="00B11B5A"/>
    <w:rsid w:val="00B16CD1"/>
    <w:rsid w:val="00B17882"/>
    <w:rsid w:val="00B2134D"/>
    <w:rsid w:val="00B24044"/>
    <w:rsid w:val="00B255CB"/>
    <w:rsid w:val="00B27C51"/>
    <w:rsid w:val="00B406D2"/>
    <w:rsid w:val="00B534B8"/>
    <w:rsid w:val="00B54351"/>
    <w:rsid w:val="00B70828"/>
    <w:rsid w:val="00B755ED"/>
    <w:rsid w:val="00B82F63"/>
    <w:rsid w:val="00B86C73"/>
    <w:rsid w:val="00B949C9"/>
    <w:rsid w:val="00B94DB0"/>
    <w:rsid w:val="00BA4973"/>
    <w:rsid w:val="00BA5E54"/>
    <w:rsid w:val="00BB796C"/>
    <w:rsid w:val="00BD2D4B"/>
    <w:rsid w:val="00BD763D"/>
    <w:rsid w:val="00BE3EC4"/>
    <w:rsid w:val="00BE44C9"/>
    <w:rsid w:val="00BF2846"/>
    <w:rsid w:val="00C04AB9"/>
    <w:rsid w:val="00C07F07"/>
    <w:rsid w:val="00C12668"/>
    <w:rsid w:val="00C14F1E"/>
    <w:rsid w:val="00C150F8"/>
    <w:rsid w:val="00C23B30"/>
    <w:rsid w:val="00C332D8"/>
    <w:rsid w:val="00C73F30"/>
    <w:rsid w:val="00C7784C"/>
    <w:rsid w:val="00C955C4"/>
    <w:rsid w:val="00CC4608"/>
    <w:rsid w:val="00CD4CBD"/>
    <w:rsid w:val="00CD4CC0"/>
    <w:rsid w:val="00CE7BCF"/>
    <w:rsid w:val="00CF47FD"/>
    <w:rsid w:val="00D007A0"/>
    <w:rsid w:val="00D02DB1"/>
    <w:rsid w:val="00D24938"/>
    <w:rsid w:val="00D27E16"/>
    <w:rsid w:val="00D3756D"/>
    <w:rsid w:val="00D47C0C"/>
    <w:rsid w:val="00D53858"/>
    <w:rsid w:val="00D53C7F"/>
    <w:rsid w:val="00D54212"/>
    <w:rsid w:val="00D81896"/>
    <w:rsid w:val="00D83B57"/>
    <w:rsid w:val="00D95229"/>
    <w:rsid w:val="00DB790C"/>
    <w:rsid w:val="00DE7DBA"/>
    <w:rsid w:val="00DF4ACF"/>
    <w:rsid w:val="00E04AEA"/>
    <w:rsid w:val="00E06B85"/>
    <w:rsid w:val="00E21B94"/>
    <w:rsid w:val="00E3217A"/>
    <w:rsid w:val="00E334C4"/>
    <w:rsid w:val="00E35AC7"/>
    <w:rsid w:val="00E600AC"/>
    <w:rsid w:val="00E600E6"/>
    <w:rsid w:val="00E62A3E"/>
    <w:rsid w:val="00E70F5B"/>
    <w:rsid w:val="00E74870"/>
    <w:rsid w:val="00E75A21"/>
    <w:rsid w:val="00EE734C"/>
    <w:rsid w:val="00EF054B"/>
    <w:rsid w:val="00EF0B5D"/>
    <w:rsid w:val="00EF3403"/>
    <w:rsid w:val="00F114E9"/>
    <w:rsid w:val="00F15E84"/>
    <w:rsid w:val="00F17880"/>
    <w:rsid w:val="00F325F1"/>
    <w:rsid w:val="00F37764"/>
    <w:rsid w:val="00F477BB"/>
    <w:rsid w:val="00F47E97"/>
    <w:rsid w:val="00F52D54"/>
    <w:rsid w:val="00F55F31"/>
    <w:rsid w:val="00F62EC8"/>
    <w:rsid w:val="00F933E4"/>
    <w:rsid w:val="00FA23A6"/>
    <w:rsid w:val="00FB1B81"/>
    <w:rsid w:val="00FB687E"/>
    <w:rsid w:val="00FC5288"/>
    <w:rsid w:val="00FD30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ED"/>
    <w:pPr>
      <w:spacing w:after="200" w:line="276" w:lineRule="auto"/>
    </w:pPr>
    <w:rPr>
      <w:lang w:eastAsia="en-US"/>
    </w:rPr>
  </w:style>
  <w:style w:type="paragraph" w:styleId="Titre2">
    <w:name w:val="heading 2"/>
    <w:basedOn w:val="Normal"/>
    <w:link w:val="Titre2Car"/>
    <w:uiPriority w:val="99"/>
    <w:qFormat/>
    <w:rsid w:val="00FB1B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6">
    <w:name w:val="heading 6"/>
    <w:basedOn w:val="Normal"/>
    <w:next w:val="Normal"/>
    <w:link w:val="Titre6Car"/>
    <w:uiPriority w:val="99"/>
    <w:qFormat/>
    <w:rsid w:val="00176D73"/>
    <w:pPr>
      <w:keepNext/>
      <w:keepLines/>
      <w:spacing w:before="200" w:after="0"/>
      <w:outlineLvl w:val="5"/>
    </w:pPr>
    <w:rPr>
      <w:rFonts w:ascii="Cambria" w:eastAsia="Times New Roman" w:hAnsi="Cambria" w:cs="Times New Roman"/>
      <w:i/>
      <w:iCs/>
      <w:color w:val="243F60"/>
    </w:rPr>
  </w:style>
  <w:style w:type="paragraph" w:styleId="Titre7">
    <w:name w:val="heading 7"/>
    <w:basedOn w:val="Normal"/>
    <w:next w:val="Normal"/>
    <w:link w:val="Titre7Car"/>
    <w:uiPriority w:val="99"/>
    <w:qFormat/>
    <w:rsid w:val="00176D73"/>
    <w:pPr>
      <w:keepNext/>
      <w:keepLines/>
      <w:spacing w:before="200" w:after="0"/>
      <w:outlineLvl w:val="6"/>
    </w:pPr>
    <w:rPr>
      <w:rFonts w:ascii="Cambria" w:eastAsia="Times New Roman"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FB1B81"/>
    <w:rPr>
      <w:rFonts w:ascii="Times New Roman" w:hAnsi="Times New Roman" w:cs="Times New Roman"/>
      <w:b/>
      <w:bCs/>
      <w:sz w:val="36"/>
      <w:szCs w:val="36"/>
      <w:lang w:eastAsia="fr-FR"/>
    </w:rPr>
  </w:style>
  <w:style w:type="character" w:customStyle="1" w:styleId="Titre6Car">
    <w:name w:val="Titre 6 Car"/>
    <w:basedOn w:val="Policepardfaut"/>
    <w:link w:val="Titre6"/>
    <w:uiPriority w:val="99"/>
    <w:semiHidden/>
    <w:locked/>
    <w:rsid w:val="00176D73"/>
    <w:rPr>
      <w:rFonts w:ascii="Cambria" w:hAnsi="Cambria" w:cs="Times New Roman"/>
      <w:i/>
      <w:iCs/>
      <w:color w:val="243F60"/>
    </w:rPr>
  </w:style>
  <w:style w:type="character" w:customStyle="1" w:styleId="Titre7Car">
    <w:name w:val="Titre 7 Car"/>
    <w:basedOn w:val="Policepardfaut"/>
    <w:link w:val="Titre7"/>
    <w:uiPriority w:val="99"/>
    <w:locked/>
    <w:rsid w:val="00176D73"/>
    <w:rPr>
      <w:rFonts w:ascii="Cambria" w:hAnsi="Cambria" w:cs="Times New Roman"/>
      <w:i/>
      <w:iCs/>
      <w:color w:val="404040"/>
    </w:rPr>
  </w:style>
  <w:style w:type="character" w:styleId="Accentuation">
    <w:name w:val="Emphasis"/>
    <w:basedOn w:val="Policepardfaut"/>
    <w:uiPriority w:val="99"/>
    <w:qFormat/>
    <w:rsid w:val="00B755ED"/>
    <w:rPr>
      <w:rFonts w:cs="Times New Roman"/>
      <w:i/>
      <w:iCs/>
    </w:rPr>
  </w:style>
  <w:style w:type="paragraph" w:styleId="Paragraphedeliste">
    <w:name w:val="List Paragraph"/>
    <w:basedOn w:val="Normal"/>
    <w:uiPriority w:val="99"/>
    <w:qFormat/>
    <w:rsid w:val="00B755ED"/>
    <w:pPr>
      <w:ind w:left="720"/>
      <w:contextualSpacing/>
    </w:pPr>
  </w:style>
  <w:style w:type="paragraph" w:styleId="NormalWeb">
    <w:name w:val="Normal (Web)"/>
    <w:basedOn w:val="Normal"/>
    <w:uiPriority w:val="99"/>
    <w:semiHidden/>
    <w:rsid w:val="00214E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99"/>
    <w:qFormat/>
    <w:rsid w:val="00214ED1"/>
    <w:rPr>
      <w:rFonts w:cs="Times New Roman"/>
      <w:b/>
      <w:bCs/>
    </w:rPr>
  </w:style>
  <w:style w:type="paragraph" w:styleId="Notedebasdepage">
    <w:name w:val="footnote text"/>
    <w:aliases w:val="fn"/>
    <w:basedOn w:val="Normal"/>
    <w:link w:val="NotedebasdepageCar"/>
    <w:uiPriority w:val="99"/>
    <w:rsid w:val="00214ED1"/>
    <w:pPr>
      <w:spacing w:after="0" w:line="240" w:lineRule="auto"/>
    </w:pPr>
    <w:rPr>
      <w:sz w:val="20"/>
      <w:szCs w:val="20"/>
    </w:rPr>
  </w:style>
  <w:style w:type="character" w:customStyle="1" w:styleId="FootnoteTextChar">
    <w:name w:val="Footnote Text Char"/>
    <w:aliases w:val="fn Char"/>
    <w:basedOn w:val="Policepardfaut"/>
    <w:link w:val="Notedebasdepage"/>
    <w:uiPriority w:val="99"/>
    <w:semiHidden/>
    <w:locked/>
    <w:rsid w:val="00486C7F"/>
    <w:rPr>
      <w:rFonts w:cs="Times New Roman"/>
      <w:sz w:val="20"/>
      <w:szCs w:val="20"/>
      <w:lang w:eastAsia="en-US"/>
    </w:rPr>
  </w:style>
  <w:style w:type="character" w:customStyle="1" w:styleId="NotedebasdepageCar">
    <w:name w:val="Note de bas de page Car"/>
    <w:aliases w:val="fn Car"/>
    <w:basedOn w:val="Policepardfaut"/>
    <w:link w:val="Notedebasdepage"/>
    <w:uiPriority w:val="99"/>
    <w:locked/>
    <w:rsid w:val="00214ED1"/>
    <w:rPr>
      <w:rFonts w:cs="Times New Roman"/>
      <w:sz w:val="20"/>
      <w:szCs w:val="20"/>
    </w:rPr>
  </w:style>
  <w:style w:type="character" w:styleId="Appelnotedebasdep">
    <w:name w:val="footnote reference"/>
    <w:basedOn w:val="Policepardfaut"/>
    <w:uiPriority w:val="99"/>
    <w:semiHidden/>
    <w:rsid w:val="00214ED1"/>
    <w:rPr>
      <w:rFonts w:cs="Times New Roman"/>
      <w:vertAlign w:val="superscript"/>
    </w:rPr>
  </w:style>
  <w:style w:type="character" w:customStyle="1" w:styleId="il">
    <w:name w:val="il"/>
    <w:basedOn w:val="Policepardfaut"/>
    <w:uiPriority w:val="99"/>
    <w:rsid w:val="00214ED1"/>
    <w:rPr>
      <w:rFonts w:cs="Times New Roman"/>
    </w:rPr>
  </w:style>
  <w:style w:type="character" w:styleId="Lienhypertexte">
    <w:name w:val="Hyperlink"/>
    <w:basedOn w:val="Policepardfaut"/>
    <w:uiPriority w:val="99"/>
    <w:rsid w:val="00FB1B81"/>
    <w:rPr>
      <w:rFonts w:cs="Times New Roman"/>
      <w:color w:val="0000FF"/>
      <w:u w:val="single"/>
    </w:rPr>
  </w:style>
  <w:style w:type="paragraph" w:styleId="Corpsdetexte">
    <w:name w:val="Body Text"/>
    <w:basedOn w:val="Normal"/>
    <w:link w:val="CorpsdetexteCar"/>
    <w:uiPriority w:val="99"/>
    <w:semiHidden/>
    <w:rsid w:val="00176D73"/>
    <w:pPr>
      <w:numPr>
        <w:numId w:val="3"/>
      </w:numPr>
      <w:spacing w:after="0" w:line="315" w:lineRule="atLeast"/>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uiPriority w:val="99"/>
    <w:semiHidden/>
    <w:locked/>
    <w:rsid w:val="00176D73"/>
    <w:rPr>
      <w:rFonts w:ascii="Times New Roman" w:hAnsi="Times New Roman" w:cs="Times New Roman"/>
      <w:sz w:val="20"/>
      <w:szCs w:val="20"/>
      <w:lang w:eastAsia="fr-FR"/>
    </w:rPr>
  </w:style>
  <w:style w:type="paragraph" w:styleId="Corpsdetexte2">
    <w:name w:val="Body Text 2"/>
    <w:basedOn w:val="Normal"/>
    <w:link w:val="Corpsdetexte2Car"/>
    <w:uiPriority w:val="99"/>
    <w:semiHidden/>
    <w:rsid w:val="00176D73"/>
    <w:pPr>
      <w:tabs>
        <w:tab w:val="left" w:pos="8222"/>
      </w:tabs>
      <w:spacing w:after="0" w:line="240" w:lineRule="auto"/>
      <w:jc w:val="both"/>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semiHidden/>
    <w:locked/>
    <w:rsid w:val="00176D73"/>
    <w:rPr>
      <w:rFonts w:ascii="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176D73"/>
    <w:pPr>
      <w:tabs>
        <w:tab w:val="left" w:pos="8222"/>
      </w:tabs>
      <w:spacing w:after="0" w:line="240" w:lineRule="auto"/>
      <w:jc w:val="both"/>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uiPriority w:val="99"/>
    <w:semiHidden/>
    <w:locked/>
    <w:rsid w:val="00176D73"/>
    <w:rPr>
      <w:rFonts w:ascii="Times New Roman" w:hAnsi="Times New Roman" w:cs="Times New Roman"/>
      <w:sz w:val="20"/>
      <w:szCs w:val="20"/>
      <w:lang w:eastAsia="fr-FR"/>
    </w:rPr>
  </w:style>
  <w:style w:type="character" w:customStyle="1" w:styleId="auteur">
    <w:name w:val="auteur"/>
    <w:basedOn w:val="Policepardfaut"/>
    <w:uiPriority w:val="99"/>
    <w:rsid w:val="00014B6B"/>
    <w:rPr>
      <w:rFonts w:cs="Times New Roman"/>
    </w:rPr>
  </w:style>
  <w:style w:type="character" w:customStyle="1" w:styleId="verdana">
    <w:name w:val="verdana"/>
    <w:basedOn w:val="Policepardfaut"/>
    <w:uiPriority w:val="99"/>
    <w:rsid w:val="00BF2846"/>
    <w:rPr>
      <w:rFonts w:cs="Times New Roman"/>
    </w:rPr>
  </w:style>
  <w:style w:type="character" w:customStyle="1" w:styleId="bold">
    <w:name w:val="bold"/>
    <w:basedOn w:val="Policepardfaut"/>
    <w:uiPriority w:val="99"/>
    <w:rsid w:val="00BF2846"/>
    <w:rPr>
      <w:rFonts w:cs="Times New Roman"/>
    </w:rPr>
  </w:style>
  <w:style w:type="character" w:customStyle="1" w:styleId="italic">
    <w:name w:val="italic"/>
    <w:basedOn w:val="Policepardfaut"/>
    <w:uiPriority w:val="99"/>
    <w:rsid w:val="00BF2846"/>
    <w:rPr>
      <w:rFonts w:cs="Times New Roman"/>
    </w:rPr>
  </w:style>
  <w:style w:type="paragraph" w:customStyle="1" w:styleId="loose">
    <w:name w:val="loose"/>
    <w:basedOn w:val="Normal"/>
    <w:uiPriority w:val="99"/>
    <w:rsid w:val="00BF28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t">
    <w:name w:val="hit"/>
    <w:basedOn w:val="Policepardfaut"/>
    <w:uiPriority w:val="99"/>
    <w:rsid w:val="00BF2846"/>
    <w:rPr>
      <w:rFonts w:cs="Times New Roman"/>
    </w:rPr>
  </w:style>
  <w:style w:type="character" w:customStyle="1" w:styleId="tightinline">
    <w:name w:val="tightinline"/>
    <w:basedOn w:val="Policepardfaut"/>
    <w:uiPriority w:val="99"/>
    <w:rsid w:val="00BF2846"/>
    <w:rPr>
      <w:rFonts w:cs="Times New Roman"/>
    </w:rPr>
  </w:style>
  <w:style w:type="paragraph" w:styleId="En-tte">
    <w:name w:val="header"/>
    <w:basedOn w:val="Normal"/>
    <w:link w:val="En-tteCar"/>
    <w:uiPriority w:val="99"/>
    <w:semiHidden/>
    <w:rsid w:val="00791FB1"/>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791FB1"/>
    <w:rPr>
      <w:rFonts w:cs="Times New Roman"/>
    </w:rPr>
  </w:style>
  <w:style w:type="paragraph" w:styleId="Pieddepage">
    <w:name w:val="footer"/>
    <w:basedOn w:val="Normal"/>
    <w:link w:val="PieddepageCar"/>
    <w:uiPriority w:val="99"/>
    <w:rsid w:val="00791FB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91FB1"/>
    <w:rPr>
      <w:rFonts w:cs="Times New Roman"/>
    </w:rPr>
  </w:style>
  <w:style w:type="character" w:styleId="Numrodepage">
    <w:name w:val="page number"/>
    <w:basedOn w:val="Policepardfaut"/>
    <w:uiPriority w:val="99"/>
    <w:locked/>
    <w:rsid w:val="00D27E16"/>
    <w:rPr>
      <w:rFonts w:cs="Times New Roman"/>
    </w:rPr>
  </w:style>
</w:styles>
</file>

<file path=word/webSettings.xml><?xml version="1.0" encoding="utf-8"?>
<w:webSettings xmlns:r="http://schemas.openxmlformats.org/officeDocument/2006/relationships" xmlns:w="http://schemas.openxmlformats.org/wordprocessingml/2006/main">
  <w:divs>
    <w:div w:id="1838300611">
      <w:marLeft w:val="0"/>
      <w:marRight w:val="0"/>
      <w:marTop w:val="0"/>
      <w:marBottom w:val="0"/>
      <w:divBdr>
        <w:top w:val="none" w:sz="0" w:space="0" w:color="auto"/>
        <w:left w:val="none" w:sz="0" w:space="0" w:color="auto"/>
        <w:bottom w:val="none" w:sz="0" w:space="0" w:color="auto"/>
        <w:right w:val="none" w:sz="0" w:space="0" w:color="auto"/>
      </w:divBdr>
      <w:divsChild>
        <w:div w:id="1838300606">
          <w:marLeft w:val="0"/>
          <w:marRight w:val="0"/>
          <w:marTop w:val="0"/>
          <w:marBottom w:val="0"/>
          <w:divBdr>
            <w:top w:val="none" w:sz="0" w:space="0" w:color="auto"/>
            <w:left w:val="none" w:sz="0" w:space="0" w:color="auto"/>
            <w:bottom w:val="none" w:sz="0" w:space="0" w:color="auto"/>
            <w:right w:val="none" w:sz="0" w:space="0" w:color="auto"/>
          </w:divBdr>
        </w:div>
        <w:div w:id="1838300638">
          <w:marLeft w:val="0"/>
          <w:marRight w:val="0"/>
          <w:marTop w:val="0"/>
          <w:marBottom w:val="0"/>
          <w:divBdr>
            <w:top w:val="none" w:sz="0" w:space="0" w:color="auto"/>
            <w:left w:val="none" w:sz="0" w:space="0" w:color="auto"/>
            <w:bottom w:val="none" w:sz="0" w:space="0" w:color="auto"/>
            <w:right w:val="none" w:sz="0" w:space="0" w:color="auto"/>
          </w:divBdr>
        </w:div>
      </w:divsChild>
    </w:div>
    <w:div w:id="1838300613">
      <w:marLeft w:val="0"/>
      <w:marRight w:val="0"/>
      <w:marTop w:val="0"/>
      <w:marBottom w:val="0"/>
      <w:divBdr>
        <w:top w:val="none" w:sz="0" w:space="0" w:color="auto"/>
        <w:left w:val="none" w:sz="0" w:space="0" w:color="auto"/>
        <w:bottom w:val="none" w:sz="0" w:space="0" w:color="auto"/>
        <w:right w:val="none" w:sz="0" w:space="0" w:color="auto"/>
      </w:divBdr>
    </w:div>
    <w:div w:id="1838300614">
      <w:marLeft w:val="0"/>
      <w:marRight w:val="0"/>
      <w:marTop w:val="0"/>
      <w:marBottom w:val="0"/>
      <w:divBdr>
        <w:top w:val="none" w:sz="0" w:space="0" w:color="auto"/>
        <w:left w:val="none" w:sz="0" w:space="0" w:color="auto"/>
        <w:bottom w:val="none" w:sz="0" w:space="0" w:color="auto"/>
        <w:right w:val="none" w:sz="0" w:space="0" w:color="auto"/>
      </w:divBdr>
    </w:div>
    <w:div w:id="1838300617">
      <w:marLeft w:val="0"/>
      <w:marRight w:val="0"/>
      <w:marTop w:val="0"/>
      <w:marBottom w:val="0"/>
      <w:divBdr>
        <w:top w:val="none" w:sz="0" w:space="0" w:color="auto"/>
        <w:left w:val="none" w:sz="0" w:space="0" w:color="auto"/>
        <w:bottom w:val="none" w:sz="0" w:space="0" w:color="auto"/>
        <w:right w:val="none" w:sz="0" w:space="0" w:color="auto"/>
      </w:divBdr>
      <w:divsChild>
        <w:div w:id="1838300615">
          <w:marLeft w:val="0"/>
          <w:marRight w:val="0"/>
          <w:marTop w:val="0"/>
          <w:marBottom w:val="0"/>
          <w:divBdr>
            <w:top w:val="none" w:sz="0" w:space="0" w:color="auto"/>
            <w:left w:val="none" w:sz="0" w:space="0" w:color="auto"/>
            <w:bottom w:val="none" w:sz="0" w:space="0" w:color="auto"/>
            <w:right w:val="none" w:sz="0" w:space="0" w:color="auto"/>
          </w:divBdr>
          <w:divsChild>
            <w:div w:id="1838300628">
              <w:marLeft w:val="0"/>
              <w:marRight w:val="0"/>
              <w:marTop w:val="0"/>
              <w:marBottom w:val="0"/>
              <w:divBdr>
                <w:top w:val="none" w:sz="0" w:space="0" w:color="auto"/>
                <w:left w:val="none" w:sz="0" w:space="0" w:color="auto"/>
                <w:bottom w:val="none" w:sz="0" w:space="0" w:color="auto"/>
                <w:right w:val="none" w:sz="0" w:space="0" w:color="auto"/>
              </w:divBdr>
              <w:divsChild>
                <w:div w:id="1838300633">
                  <w:marLeft w:val="0"/>
                  <w:marRight w:val="0"/>
                  <w:marTop w:val="0"/>
                  <w:marBottom w:val="0"/>
                  <w:divBdr>
                    <w:top w:val="none" w:sz="0" w:space="0" w:color="auto"/>
                    <w:left w:val="none" w:sz="0" w:space="0" w:color="auto"/>
                    <w:bottom w:val="none" w:sz="0" w:space="0" w:color="auto"/>
                    <w:right w:val="none" w:sz="0" w:space="0" w:color="auto"/>
                  </w:divBdr>
                  <w:divsChild>
                    <w:div w:id="18383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0623">
          <w:marLeft w:val="0"/>
          <w:marRight w:val="0"/>
          <w:marTop w:val="0"/>
          <w:marBottom w:val="0"/>
          <w:divBdr>
            <w:top w:val="none" w:sz="0" w:space="0" w:color="auto"/>
            <w:left w:val="none" w:sz="0" w:space="0" w:color="auto"/>
            <w:bottom w:val="none" w:sz="0" w:space="0" w:color="auto"/>
            <w:right w:val="none" w:sz="0" w:space="0" w:color="auto"/>
          </w:divBdr>
        </w:div>
        <w:div w:id="1838300630">
          <w:marLeft w:val="0"/>
          <w:marRight w:val="0"/>
          <w:marTop w:val="0"/>
          <w:marBottom w:val="0"/>
          <w:divBdr>
            <w:top w:val="none" w:sz="0" w:space="0" w:color="auto"/>
            <w:left w:val="none" w:sz="0" w:space="0" w:color="auto"/>
            <w:bottom w:val="none" w:sz="0" w:space="0" w:color="auto"/>
            <w:right w:val="none" w:sz="0" w:space="0" w:color="auto"/>
          </w:divBdr>
          <w:divsChild>
            <w:div w:id="18383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0619">
      <w:marLeft w:val="0"/>
      <w:marRight w:val="0"/>
      <w:marTop w:val="0"/>
      <w:marBottom w:val="0"/>
      <w:divBdr>
        <w:top w:val="none" w:sz="0" w:space="0" w:color="auto"/>
        <w:left w:val="none" w:sz="0" w:space="0" w:color="auto"/>
        <w:bottom w:val="none" w:sz="0" w:space="0" w:color="auto"/>
        <w:right w:val="none" w:sz="0" w:space="0" w:color="auto"/>
      </w:divBdr>
    </w:div>
    <w:div w:id="1838300627">
      <w:marLeft w:val="0"/>
      <w:marRight w:val="0"/>
      <w:marTop w:val="0"/>
      <w:marBottom w:val="0"/>
      <w:divBdr>
        <w:top w:val="none" w:sz="0" w:space="0" w:color="auto"/>
        <w:left w:val="none" w:sz="0" w:space="0" w:color="auto"/>
        <w:bottom w:val="none" w:sz="0" w:space="0" w:color="auto"/>
        <w:right w:val="none" w:sz="0" w:space="0" w:color="auto"/>
      </w:divBdr>
    </w:div>
    <w:div w:id="1838300634">
      <w:marLeft w:val="0"/>
      <w:marRight w:val="0"/>
      <w:marTop w:val="0"/>
      <w:marBottom w:val="0"/>
      <w:divBdr>
        <w:top w:val="none" w:sz="0" w:space="0" w:color="auto"/>
        <w:left w:val="none" w:sz="0" w:space="0" w:color="auto"/>
        <w:bottom w:val="none" w:sz="0" w:space="0" w:color="auto"/>
        <w:right w:val="none" w:sz="0" w:space="0" w:color="auto"/>
      </w:divBdr>
      <w:divsChild>
        <w:div w:id="1838300626">
          <w:marLeft w:val="0"/>
          <w:marRight w:val="0"/>
          <w:marTop w:val="0"/>
          <w:marBottom w:val="0"/>
          <w:divBdr>
            <w:top w:val="none" w:sz="0" w:space="0" w:color="auto"/>
            <w:left w:val="none" w:sz="0" w:space="0" w:color="auto"/>
            <w:bottom w:val="none" w:sz="0" w:space="0" w:color="auto"/>
            <w:right w:val="none" w:sz="0" w:space="0" w:color="auto"/>
          </w:divBdr>
          <w:divsChild>
            <w:div w:id="1838300605">
              <w:marLeft w:val="0"/>
              <w:marRight w:val="0"/>
              <w:marTop w:val="0"/>
              <w:marBottom w:val="0"/>
              <w:divBdr>
                <w:top w:val="none" w:sz="0" w:space="0" w:color="auto"/>
                <w:left w:val="none" w:sz="0" w:space="0" w:color="auto"/>
                <w:bottom w:val="none" w:sz="0" w:space="0" w:color="auto"/>
                <w:right w:val="none" w:sz="0" w:space="0" w:color="auto"/>
              </w:divBdr>
              <w:divsChild>
                <w:div w:id="1838300609">
                  <w:marLeft w:val="0"/>
                  <w:marRight w:val="0"/>
                  <w:marTop w:val="0"/>
                  <w:marBottom w:val="0"/>
                  <w:divBdr>
                    <w:top w:val="none" w:sz="0" w:space="0" w:color="auto"/>
                    <w:left w:val="none" w:sz="0" w:space="0" w:color="auto"/>
                    <w:bottom w:val="none" w:sz="0" w:space="0" w:color="auto"/>
                    <w:right w:val="none" w:sz="0" w:space="0" w:color="auto"/>
                  </w:divBdr>
                </w:div>
                <w:div w:id="1838300629">
                  <w:marLeft w:val="0"/>
                  <w:marRight w:val="0"/>
                  <w:marTop w:val="0"/>
                  <w:marBottom w:val="0"/>
                  <w:divBdr>
                    <w:top w:val="none" w:sz="0" w:space="0" w:color="auto"/>
                    <w:left w:val="none" w:sz="0" w:space="0" w:color="auto"/>
                    <w:bottom w:val="none" w:sz="0" w:space="0" w:color="auto"/>
                    <w:right w:val="none" w:sz="0" w:space="0" w:color="auto"/>
                  </w:divBdr>
                </w:div>
              </w:divsChild>
            </w:div>
            <w:div w:id="1838300631">
              <w:marLeft w:val="0"/>
              <w:marRight w:val="0"/>
              <w:marTop w:val="0"/>
              <w:marBottom w:val="0"/>
              <w:divBdr>
                <w:top w:val="none" w:sz="0" w:space="0" w:color="auto"/>
                <w:left w:val="none" w:sz="0" w:space="0" w:color="auto"/>
                <w:bottom w:val="none" w:sz="0" w:space="0" w:color="auto"/>
                <w:right w:val="none" w:sz="0" w:space="0" w:color="auto"/>
              </w:divBdr>
              <w:divsChild>
                <w:div w:id="1838300625">
                  <w:marLeft w:val="0"/>
                  <w:marRight w:val="0"/>
                  <w:marTop w:val="0"/>
                  <w:marBottom w:val="0"/>
                  <w:divBdr>
                    <w:top w:val="none" w:sz="0" w:space="0" w:color="auto"/>
                    <w:left w:val="none" w:sz="0" w:space="0" w:color="auto"/>
                    <w:bottom w:val="none" w:sz="0" w:space="0" w:color="auto"/>
                    <w:right w:val="none" w:sz="0" w:space="0" w:color="auto"/>
                  </w:divBdr>
                  <w:divsChild>
                    <w:div w:id="1838300618">
                      <w:marLeft w:val="0"/>
                      <w:marRight w:val="0"/>
                      <w:marTop w:val="0"/>
                      <w:marBottom w:val="0"/>
                      <w:divBdr>
                        <w:top w:val="none" w:sz="0" w:space="0" w:color="auto"/>
                        <w:left w:val="none" w:sz="0" w:space="0" w:color="auto"/>
                        <w:bottom w:val="none" w:sz="0" w:space="0" w:color="auto"/>
                        <w:right w:val="none" w:sz="0" w:space="0" w:color="auto"/>
                      </w:divBdr>
                      <w:divsChild>
                        <w:div w:id="1838300616">
                          <w:marLeft w:val="0"/>
                          <w:marRight w:val="0"/>
                          <w:marTop w:val="0"/>
                          <w:marBottom w:val="0"/>
                          <w:divBdr>
                            <w:top w:val="none" w:sz="0" w:space="0" w:color="auto"/>
                            <w:left w:val="none" w:sz="0" w:space="0" w:color="auto"/>
                            <w:bottom w:val="none" w:sz="0" w:space="0" w:color="auto"/>
                            <w:right w:val="none" w:sz="0" w:space="0" w:color="auto"/>
                          </w:divBdr>
                          <w:divsChild>
                            <w:div w:id="1838300622">
                              <w:marLeft w:val="0"/>
                              <w:marRight w:val="0"/>
                              <w:marTop w:val="0"/>
                              <w:marBottom w:val="0"/>
                              <w:divBdr>
                                <w:top w:val="none" w:sz="0" w:space="0" w:color="auto"/>
                                <w:left w:val="none" w:sz="0" w:space="0" w:color="auto"/>
                                <w:bottom w:val="none" w:sz="0" w:space="0" w:color="auto"/>
                                <w:right w:val="none" w:sz="0" w:space="0" w:color="auto"/>
                              </w:divBdr>
                              <w:divsChild>
                                <w:div w:id="1838300620">
                                  <w:marLeft w:val="0"/>
                                  <w:marRight w:val="0"/>
                                  <w:marTop w:val="0"/>
                                  <w:marBottom w:val="0"/>
                                  <w:divBdr>
                                    <w:top w:val="none" w:sz="0" w:space="0" w:color="auto"/>
                                    <w:left w:val="none" w:sz="0" w:space="0" w:color="auto"/>
                                    <w:bottom w:val="none" w:sz="0" w:space="0" w:color="auto"/>
                                    <w:right w:val="none" w:sz="0" w:space="0" w:color="auto"/>
                                  </w:divBdr>
                                  <w:divsChild>
                                    <w:div w:id="1838300624">
                                      <w:marLeft w:val="0"/>
                                      <w:marRight w:val="0"/>
                                      <w:marTop w:val="0"/>
                                      <w:marBottom w:val="0"/>
                                      <w:divBdr>
                                        <w:top w:val="none" w:sz="0" w:space="0" w:color="auto"/>
                                        <w:left w:val="none" w:sz="0" w:space="0" w:color="auto"/>
                                        <w:bottom w:val="none" w:sz="0" w:space="0" w:color="auto"/>
                                        <w:right w:val="none" w:sz="0" w:space="0" w:color="auto"/>
                                      </w:divBdr>
                                      <w:divsChild>
                                        <w:div w:id="1838300610">
                                          <w:marLeft w:val="0"/>
                                          <w:marRight w:val="0"/>
                                          <w:marTop w:val="0"/>
                                          <w:marBottom w:val="0"/>
                                          <w:divBdr>
                                            <w:top w:val="none" w:sz="0" w:space="0" w:color="auto"/>
                                            <w:left w:val="none" w:sz="0" w:space="0" w:color="auto"/>
                                            <w:bottom w:val="none" w:sz="0" w:space="0" w:color="auto"/>
                                            <w:right w:val="none" w:sz="0" w:space="0" w:color="auto"/>
                                          </w:divBdr>
                                          <w:divsChild>
                                            <w:div w:id="1838300608">
                                              <w:marLeft w:val="0"/>
                                              <w:marRight w:val="0"/>
                                              <w:marTop w:val="0"/>
                                              <w:marBottom w:val="0"/>
                                              <w:divBdr>
                                                <w:top w:val="none" w:sz="0" w:space="0" w:color="auto"/>
                                                <w:left w:val="none" w:sz="0" w:space="0" w:color="auto"/>
                                                <w:bottom w:val="none" w:sz="0" w:space="0" w:color="auto"/>
                                                <w:right w:val="none" w:sz="0" w:space="0" w:color="auto"/>
                                              </w:divBdr>
                                              <w:divsChild>
                                                <w:div w:id="1838300607">
                                                  <w:marLeft w:val="0"/>
                                                  <w:marRight w:val="0"/>
                                                  <w:marTop w:val="0"/>
                                                  <w:marBottom w:val="0"/>
                                                  <w:divBdr>
                                                    <w:top w:val="none" w:sz="0" w:space="0" w:color="auto"/>
                                                    <w:left w:val="none" w:sz="0" w:space="0" w:color="auto"/>
                                                    <w:bottom w:val="none" w:sz="0" w:space="0" w:color="auto"/>
                                                    <w:right w:val="none" w:sz="0" w:space="0" w:color="auto"/>
                                                  </w:divBdr>
                                                </w:div>
                                                <w:div w:id="1838300612">
                                                  <w:marLeft w:val="0"/>
                                                  <w:marRight w:val="0"/>
                                                  <w:marTop w:val="0"/>
                                                  <w:marBottom w:val="0"/>
                                                  <w:divBdr>
                                                    <w:top w:val="none" w:sz="0" w:space="0" w:color="auto"/>
                                                    <w:left w:val="none" w:sz="0" w:space="0" w:color="auto"/>
                                                    <w:bottom w:val="none" w:sz="0" w:space="0" w:color="auto"/>
                                                    <w:right w:val="none" w:sz="0" w:space="0" w:color="auto"/>
                                                  </w:divBdr>
                                                  <w:divsChild>
                                                    <w:div w:id="1838300635">
                                                      <w:marLeft w:val="0"/>
                                                      <w:marRight w:val="0"/>
                                                      <w:marTop w:val="0"/>
                                                      <w:marBottom w:val="0"/>
                                                      <w:divBdr>
                                                        <w:top w:val="none" w:sz="0" w:space="0" w:color="auto"/>
                                                        <w:left w:val="none" w:sz="0" w:space="0" w:color="auto"/>
                                                        <w:bottom w:val="none" w:sz="0" w:space="0" w:color="auto"/>
                                                        <w:right w:val="none" w:sz="0" w:space="0" w:color="auto"/>
                                                      </w:divBdr>
                                                      <w:divsChild>
                                                        <w:div w:id="18383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8300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5752</Words>
  <Characters>31642</Characters>
  <Application>Microsoft Office Word</Application>
  <DocSecurity>0</DocSecurity>
  <Lines>263</Lines>
  <Paragraphs>74</Paragraphs>
  <ScaleCrop>false</ScaleCrop>
  <Company/>
  <LinksUpToDate>false</LinksUpToDate>
  <CharactersWithSpaces>37320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L’arbitrage et le nouveau contexte politique en Tunisie</dc:title>
  <dc:creator>Utilisateur Windows</dc:creator>
  <cp:lastModifiedBy>Utilisateur Windows</cp:lastModifiedBy>
  <cp:revision>3</cp:revision>
  <dcterms:created xsi:type="dcterms:W3CDTF">2013-02-11T02:09:00Z</dcterms:created>
  <dcterms:modified xsi:type="dcterms:W3CDTF">2013-02-11T02:10:00Z</dcterms:modified>
</cp:coreProperties>
</file>