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4" w:rsidRPr="00A35781" w:rsidRDefault="00401224" w:rsidP="00401224">
      <w:pPr>
        <w:jc w:val="center"/>
        <w:rPr>
          <w:b/>
          <w:bCs/>
          <w:color w:val="000000"/>
          <w:sz w:val="26"/>
          <w:szCs w:val="26"/>
        </w:rPr>
      </w:pPr>
      <w:r w:rsidRPr="00A35781">
        <w:rPr>
          <w:b/>
          <w:bCs/>
          <w:color w:val="000000"/>
          <w:sz w:val="26"/>
          <w:szCs w:val="26"/>
        </w:rPr>
        <w:t>Expert Group Meeting on Short Term Statistics in Western Asia</w:t>
      </w:r>
    </w:p>
    <w:p w:rsidR="0052741F" w:rsidRPr="00A35781" w:rsidRDefault="0052741F" w:rsidP="00401224">
      <w:pPr>
        <w:jc w:val="center"/>
        <w:rPr>
          <w:b/>
          <w:bCs/>
          <w:color w:val="000000"/>
          <w:sz w:val="26"/>
          <w:szCs w:val="26"/>
        </w:rPr>
      </w:pPr>
    </w:p>
    <w:p w:rsidR="00401224" w:rsidRPr="00A35781" w:rsidRDefault="00401224" w:rsidP="000234ED">
      <w:pPr>
        <w:jc w:val="center"/>
        <w:rPr>
          <w:b/>
          <w:bCs/>
          <w:sz w:val="26"/>
          <w:szCs w:val="26"/>
          <w:highlight w:val="yellow"/>
          <w:lang w:val="es-ES"/>
        </w:rPr>
      </w:pPr>
      <w:r w:rsidRPr="00A35781">
        <w:rPr>
          <w:b/>
          <w:bCs/>
          <w:color w:val="000000"/>
          <w:sz w:val="26"/>
          <w:szCs w:val="26"/>
        </w:rPr>
        <w:t>16-1</w:t>
      </w:r>
      <w:r w:rsidR="000234ED" w:rsidRPr="00A35781">
        <w:rPr>
          <w:b/>
          <w:bCs/>
          <w:color w:val="000000"/>
          <w:sz w:val="26"/>
          <w:szCs w:val="26"/>
        </w:rPr>
        <w:t>8</w:t>
      </w:r>
      <w:r w:rsidRPr="00A35781">
        <w:rPr>
          <w:b/>
          <w:bCs/>
          <w:color w:val="000000"/>
          <w:sz w:val="26"/>
          <w:szCs w:val="26"/>
        </w:rPr>
        <w:t xml:space="preserve"> February 2016</w:t>
      </w:r>
    </w:p>
    <w:p w:rsidR="00401224" w:rsidRPr="00A35781" w:rsidRDefault="00BE194E" w:rsidP="00401224">
      <w:pPr>
        <w:jc w:val="center"/>
        <w:rPr>
          <w:b/>
          <w:bCs/>
          <w:sz w:val="26"/>
          <w:szCs w:val="26"/>
          <w:lang w:val="es-ES"/>
        </w:rPr>
      </w:pPr>
      <w:proofErr w:type="spellStart"/>
      <w:r w:rsidRPr="00A35781">
        <w:rPr>
          <w:b/>
          <w:bCs/>
          <w:sz w:val="26"/>
          <w:szCs w:val="26"/>
          <w:lang w:val="es-ES"/>
        </w:rPr>
        <w:t>Tunis</w:t>
      </w:r>
      <w:proofErr w:type="spellEnd"/>
      <w:r w:rsidRPr="00A35781">
        <w:rPr>
          <w:b/>
          <w:bCs/>
          <w:sz w:val="26"/>
          <w:szCs w:val="26"/>
          <w:lang w:val="es-ES"/>
        </w:rPr>
        <w:t xml:space="preserve">, </w:t>
      </w:r>
      <w:proofErr w:type="spellStart"/>
      <w:r w:rsidR="00401224" w:rsidRPr="00A35781">
        <w:rPr>
          <w:b/>
          <w:bCs/>
          <w:sz w:val="26"/>
          <w:szCs w:val="26"/>
          <w:lang w:val="es-ES"/>
        </w:rPr>
        <w:t>Tunisia</w:t>
      </w:r>
      <w:proofErr w:type="spellEnd"/>
    </w:p>
    <w:p w:rsidR="007300E1" w:rsidRDefault="007300E1" w:rsidP="001D0D64">
      <w:pPr>
        <w:tabs>
          <w:tab w:val="left" w:pos="567"/>
          <w:tab w:val="left" w:pos="992"/>
          <w:tab w:val="left" w:pos="1418"/>
        </w:tabs>
        <w:jc w:val="both"/>
        <w:rPr>
          <w:b/>
          <w:lang w:val="es-ES"/>
        </w:rPr>
      </w:pPr>
    </w:p>
    <w:p w:rsidR="00A35781" w:rsidRPr="007210E8" w:rsidRDefault="00A35781" w:rsidP="00A35781">
      <w:pPr>
        <w:pStyle w:val="Title"/>
        <w:bidi w:val="0"/>
        <w:ind w:left="0" w:right="0" w:firstLine="0"/>
        <w:rPr>
          <w:rFonts w:ascii="Times New Roman Bold" w:hAnsi="Times New Roman Bold"/>
          <w:bCs w:val="0"/>
          <w:caps/>
          <w:sz w:val="22"/>
          <w:szCs w:val="22"/>
        </w:rPr>
      </w:pPr>
      <w:r w:rsidRPr="007210E8">
        <w:rPr>
          <w:rFonts w:ascii="Times New Roman Bold" w:hAnsi="Times New Roman Bold"/>
          <w:bCs w:val="0"/>
          <w:caps/>
          <w:sz w:val="22"/>
          <w:szCs w:val="22"/>
          <w:lang w:val="en-GB"/>
        </w:rPr>
        <w:t>Information note</w:t>
      </w:r>
    </w:p>
    <w:p w:rsidR="00A35781" w:rsidRPr="00401224" w:rsidRDefault="00A35781" w:rsidP="001D0D64">
      <w:pPr>
        <w:tabs>
          <w:tab w:val="left" w:pos="567"/>
          <w:tab w:val="left" w:pos="992"/>
          <w:tab w:val="left" w:pos="1418"/>
        </w:tabs>
        <w:jc w:val="both"/>
        <w:rPr>
          <w:b/>
          <w:lang w:val="es-ES"/>
        </w:rPr>
      </w:pPr>
    </w:p>
    <w:p w:rsidR="00473DA7" w:rsidRPr="00DE3DCB" w:rsidRDefault="007300E1" w:rsidP="001D0D64">
      <w:pPr>
        <w:tabs>
          <w:tab w:val="left" w:pos="567"/>
          <w:tab w:val="left" w:pos="992"/>
          <w:tab w:val="left" w:pos="1418"/>
        </w:tabs>
        <w:jc w:val="both"/>
        <w:rPr>
          <w:b/>
          <w:lang w:val="en-GB"/>
        </w:rPr>
      </w:pPr>
      <w:r>
        <w:rPr>
          <w:b/>
          <w:lang w:val="en-GB"/>
        </w:rPr>
        <w:t xml:space="preserve">I. </w:t>
      </w:r>
      <w:r w:rsidR="00473DA7" w:rsidRPr="00DE3DCB">
        <w:rPr>
          <w:b/>
          <w:lang w:val="en-GB"/>
        </w:rPr>
        <w:t>Background</w:t>
      </w:r>
    </w:p>
    <w:p w:rsidR="00473DA7" w:rsidRDefault="00473DA7" w:rsidP="001D0D64">
      <w:pPr>
        <w:tabs>
          <w:tab w:val="left" w:pos="567"/>
          <w:tab w:val="left" w:pos="992"/>
          <w:tab w:val="left" w:pos="1418"/>
        </w:tabs>
        <w:jc w:val="both"/>
        <w:rPr>
          <w:sz w:val="22"/>
          <w:szCs w:val="22"/>
        </w:rPr>
      </w:pPr>
    </w:p>
    <w:p w:rsidR="003A2C5F" w:rsidRPr="00DE3DCB" w:rsidRDefault="00FC6F4F" w:rsidP="001D0D64">
      <w:pPr>
        <w:tabs>
          <w:tab w:val="left" w:pos="567"/>
          <w:tab w:val="left" w:pos="992"/>
          <w:tab w:val="left" w:pos="1418"/>
        </w:tabs>
        <w:jc w:val="both"/>
        <w:rPr>
          <w:rFonts w:eastAsia="PMingLiU"/>
        </w:rPr>
      </w:pPr>
      <w:r w:rsidRPr="00DE3DCB">
        <w:rPr>
          <w:rFonts w:eastAsia="PMingLiU"/>
        </w:rPr>
        <w:t>Short-term macroeconomic fluctuations are known to have lon</w:t>
      </w:r>
      <w:r w:rsidR="00481171">
        <w:rPr>
          <w:rFonts w:eastAsia="PMingLiU"/>
        </w:rPr>
        <w:t xml:space="preserve">g-term economic consequences. </w:t>
      </w:r>
      <w:r w:rsidRPr="00DE3DCB">
        <w:rPr>
          <w:rFonts w:eastAsia="PMingLiU"/>
        </w:rPr>
        <w:t>As a result of globalization and a rapidly expanding financial sector in the ESCWA region, short-term policy issues have become more critical for policymakers in their quest to guide the short-term direction of the economies. However, due to the lack of quarterly and monthly economic data in most ESCWA member countries, policymakers are faced with difficulties in measuring and projecting the consequences of short-term economic developments.</w:t>
      </w:r>
    </w:p>
    <w:p w:rsidR="003A2C5F" w:rsidRPr="00DE3DCB" w:rsidRDefault="003A2C5F" w:rsidP="003A2C5F">
      <w:pPr>
        <w:jc w:val="both"/>
        <w:rPr>
          <w:rFonts w:eastAsia="PMingLiU"/>
        </w:rPr>
      </w:pPr>
    </w:p>
    <w:p w:rsidR="001D0D64" w:rsidRPr="00DE3DCB" w:rsidRDefault="00481171" w:rsidP="00481171">
      <w:pPr>
        <w:tabs>
          <w:tab w:val="left" w:pos="567"/>
          <w:tab w:val="left" w:pos="992"/>
          <w:tab w:val="left" w:pos="1418"/>
        </w:tabs>
        <w:jc w:val="both"/>
        <w:rPr>
          <w:rFonts w:eastAsia="PMingLiU"/>
        </w:rPr>
      </w:pPr>
      <w:r>
        <w:rPr>
          <w:rFonts w:eastAsia="PMingLiU"/>
        </w:rPr>
        <w:t>T</w:t>
      </w:r>
      <w:r w:rsidR="001D0D64" w:rsidRPr="00DE3DCB">
        <w:rPr>
          <w:rFonts w:eastAsia="PMingLiU"/>
        </w:rPr>
        <w:t xml:space="preserve">he lack </w:t>
      </w:r>
      <w:r>
        <w:rPr>
          <w:rFonts w:eastAsia="PMingLiU"/>
        </w:rPr>
        <w:t xml:space="preserve">of </w:t>
      </w:r>
      <w:r w:rsidR="001D0D64" w:rsidRPr="00DE3DCB">
        <w:rPr>
          <w:rFonts w:eastAsia="PMingLiU"/>
        </w:rPr>
        <w:t>short statistics</w:t>
      </w:r>
      <w:r w:rsidR="003A2C5F" w:rsidRPr="00DE3DCB">
        <w:rPr>
          <w:rFonts w:eastAsia="PMingLiU"/>
        </w:rPr>
        <w:t xml:space="preserve"> and their metadata is a critical constraint for the construction of composite economic indicators in developing economies, p</w:t>
      </w:r>
      <w:r w:rsidR="001D0D64" w:rsidRPr="00DE3DCB">
        <w:rPr>
          <w:rFonts w:eastAsia="PMingLiU"/>
        </w:rPr>
        <w:t>articularly in the ESCWA region</w:t>
      </w:r>
      <w:r>
        <w:rPr>
          <w:rFonts w:eastAsia="PMingLiU"/>
        </w:rPr>
        <w:t xml:space="preserve">. It is crucial to produce </w:t>
      </w:r>
      <w:r w:rsidRPr="00DE3DCB">
        <w:rPr>
          <w:rFonts w:eastAsia="PMingLiU"/>
        </w:rPr>
        <w:t xml:space="preserve">short-term indicators timely and periodically in order to measure and monitor various economic fluctuations and business cycles and respond to them scientifically and punctually. </w:t>
      </w:r>
      <w:r>
        <w:rPr>
          <w:rFonts w:eastAsia="PMingLiU"/>
        </w:rPr>
        <w:t>Moreover, c</w:t>
      </w:r>
      <w:r w:rsidR="001D0D64" w:rsidRPr="00DE3DCB">
        <w:rPr>
          <w:rFonts w:eastAsia="PMingLiU"/>
        </w:rPr>
        <w:t xml:space="preserve">omposite short-term economic indicators, such as composite leading and composite coincident indicators, are </w:t>
      </w:r>
      <w:r>
        <w:rPr>
          <w:rFonts w:eastAsia="PMingLiU"/>
        </w:rPr>
        <w:t>important as they</w:t>
      </w:r>
      <w:r w:rsidR="001D0D64" w:rsidRPr="00DE3DCB">
        <w:rPr>
          <w:rFonts w:eastAsia="PMingLiU"/>
        </w:rPr>
        <w:t xml:space="preserve"> provide early signals about the business cycle and the overall economy respectively. </w:t>
      </w:r>
    </w:p>
    <w:p w:rsidR="00D61F5E" w:rsidRDefault="00D61F5E" w:rsidP="00D61F5E">
      <w:pPr>
        <w:widowControl w:val="0"/>
        <w:suppressAutoHyphens/>
        <w:autoSpaceDE w:val="0"/>
        <w:autoSpaceDN w:val="0"/>
        <w:jc w:val="both"/>
      </w:pPr>
    </w:p>
    <w:p w:rsidR="003A2C5F" w:rsidRDefault="0033510B" w:rsidP="000234ED">
      <w:pPr>
        <w:jc w:val="both"/>
      </w:pPr>
      <w:r w:rsidRPr="0033510B">
        <w:t xml:space="preserve">In this context, </w:t>
      </w:r>
      <w:r w:rsidR="00DE3DCB">
        <w:t>the</w:t>
      </w:r>
      <w:r w:rsidR="00DE3DCB" w:rsidRPr="00971434">
        <w:t xml:space="preserve"> United Nations Economic and Social Commission for Western Asia (ESCWA) </w:t>
      </w:r>
      <w:r>
        <w:t xml:space="preserve">is organizing </w:t>
      </w:r>
      <w:r w:rsidR="001D0D64">
        <w:t xml:space="preserve">an Expert Group Meeting </w:t>
      </w:r>
      <w:r w:rsidR="00DE3DCB">
        <w:t xml:space="preserve">on Short Term Statistics </w:t>
      </w:r>
      <w:r w:rsidR="00401224">
        <w:t>in</w:t>
      </w:r>
      <w:r w:rsidR="00DE3DCB">
        <w:t xml:space="preserve"> Western Asia </w:t>
      </w:r>
      <w:r w:rsidR="00D61F5E" w:rsidRPr="00D61F5E">
        <w:t xml:space="preserve">scheduled to be held </w:t>
      </w:r>
      <w:r w:rsidR="00DE3DCB">
        <w:t>during the period of February</w:t>
      </w:r>
      <w:r w:rsidR="00D61F5E" w:rsidRPr="00D61F5E">
        <w:t xml:space="preserve"> 16-1</w:t>
      </w:r>
      <w:r w:rsidR="000234ED">
        <w:t>8</w:t>
      </w:r>
      <w:r w:rsidR="00DE3DCB">
        <w:t>,</w:t>
      </w:r>
      <w:r w:rsidR="00D61F5E" w:rsidRPr="00D61F5E">
        <w:t xml:space="preserve"> 2016</w:t>
      </w:r>
      <w:r w:rsidR="00D61F5E" w:rsidRPr="00D61F5E">
        <w:rPr>
          <w:rFonts w:hint="eastAsia"/>
        </w:rPr>
        <w:t xml:space="preserve"> </w:t>
      </w:r>
      <w:r w:rsidR="00D61F5E" w:rsidRPr="00D61F5E">
        <w:t>in Tunisia</w:t>
      </w:r>
      <w:r w:rsidR="00481171">
        <w:t>.</w:t>
      </w:r>
    </w:p>
    <w:p w:rsidR="00DE3DCB" w:rsidRPr="009C4262" w:rsidRDefault="00DE3DCB" w:rsidP="00DE3DCB">
      <w:pPr>
        <w:spacing w:line="180" w:lineRule="exact"/>
        <w:jc w:val="both"/>
        <w:rPr>
          <w:b/>
          <w:lang w:val="en-GB"/>
        </w:rPr>
      </w:pPr>
    </w:p>
    <w:p w:rsidR="007300E1" w:rsidRDefault="007300E1" w:rsidP="007300E1">
      <w:pPr>
        <w:tabs>
          <w:tab w:val="left" w:pos="567"/>
          <w:tab w:val="left" w:pos="992"/>
          <w:tab w:val="left" w:pos="1418"/>
        </w:tabs>
        <w:jc w:val="both"/>
        <w:rPr>
          <w:b/>
          <w:lang w:val="en-GB"/>
        </w:rPr>
      </w:pPr>
    </w:p>
    <w:p w:rsidR="00DE3DCB" w:rsidRPr="009C4262" w:rsidRDefault="007300E1" w:rsidP="002C762E">
      <w:pPr>
        <w:tabs>
          <w:tab w:val="left" w:pos="567"/>
          <w:tab w:val="left" w:pos="992"/>
          <w:tab w:val="left" w:pos="1418"/>
        </w:tabs>
        <w:jc w:val="both"/>
        <w:rPr>
          <w:b/>
          <w:lang w:val="en-GB"/>
        </w:rPr>
      </w:pPr>
      <w:r>
        <w:rPr>
          <w:b/>
          <w:lang w:val="en-GB"/>
        </w:rPr>
        <w:t xml:space="preserve">II. </w:t>
      </w:r>
      <w:r w:rsidR="002C762E">
        <w:rPr>
          <w:b/>
          <w:lang w:val="en-GB"/>
        </w:rPr>
        <w:t>Purpose of the Meeting</w:t>
      </w:r>
    </w:p>
    <w:p w:rsidR="00DE3DCB" w:rsidRDefault="00DE3DCB" w:rsidP="00DE3DCB">
      <w:pPr>
        <w:widowControl w:val="0"/>
        <w:suppressAutoHyphens/>
        <w:autoSpaceDE w:val="0"/>
        <w:autoSpaceDN w:val="0"/>
        <w:jc w:val="both"/>
      </w:pPr>
    </w:p>
    <w:p w:rsidR="00782D5D" w:rsidRDefault="00782D5D" w:rsidP="00DE3DCB">
      <w:pPr>
        <w:widowControl w:val="0"/>
        <w:suppressAutoHyphens/>
        <w:autoSpaceDE w:val="0"/>
        <w:autoSpaceDN w:val="0"/>
        <w:jc w:val="both"/>
      </w:pPr>
      <w:r>
        <w:t>The purpose of the EGM is to tackle the following:</w:t>
      </w:r>
    </w:p>
    <w:p w:rsidR="00782D5D" w:rsidRDefault="00782D5D" w:rsidP="00DE3DCB">
      <w:pPr>
        <w:widowControl w:val="0"/>
        <w:suppressAutoHyphens/>
        <w:autoSpaceDE w:val="0"/>
        <w:autoSpaceDN w:val="0"/>
        <w:jc w:val="both"/>
      </w:pPr>
    </w:p>
    <w:p w:rsidR="00DE3DCB" w:rsidRDefault="00782D5D" w:rsidP="00481171">
      <w:pPr>
        <w:pStyle w:val="ListParagraph"/>
        <w:widowControl w:val="0"/>
        <w:numPr>
          <w:ilvl w:val="0"/>
          <w:numId w:val="2"/>
        </w:numPr>
        <w:suppressAutoHyphens/>
        <w:autoSpaceDE w:val="0"/>
        <w:autoSpaceDN w:val="0"/>
        <w:jc w:val="both"/>
      </w:pPr>
      <w:r>
        <w:t>Experts will</w:t>
      </w:r>
      <w:r w:rsidR="00DE3DCB">
        <w:t xml:space="preserve"> </w:t>
      </w:r>
      <w:r>
        <w:t xml:space="preserve">discuss the outcomes of the </w:t>
      </w:r>
      <w:r w:rsidR="00481171">
        <w:t xml:space="preserve">national </w:t>
      </w:r>
      <w:r w:rsidR="00477486">
        <w:t xml:space="preserve">assessment </w:t>
      </w:r>
      <w:r w:rsidR="00481171">
        <w:t>reports</w:t>
      </w:r>
      <w:r w:rsidR="00477486">
        <w:t xml:space="preserve"> </w:t>
      </w:r>
      <w:r w:rsidR="00481171">
        <w:t>of</w:t>
      </w:r>
      <w:r w:rsidR="00477486">
        <w:t xml:space="preserve"> the pilot countries </w:t>
      </w:r>
      <w:r w:rsidR="00481171">
        <w:t>in the area of short term economic statistics, including</w:t>
      </w:r>
      <w:r w:rsidR="00477486">
        <w:t xml:space="preserve"> the difficulties facing these countries in the compilation and dissemination processes of the core set of short term indicators (67 indicators), and in particular those deemed high priority by the </w:t>
      </w:r>
      <w:r w:rsidR="00481171">
        <w:t>countries.</w:t>
      </w:r>
    </w:p>
    <w:p w:rsidR="000E06F6" w:rsidRDefault="00477486" w:rsidP="00481171">
      <w:pPr>
        <w:pStyle w:val="ListParagraph"/>
        <w:widowControl w:val="0"/>
        <w:numPr>
          <w:ilvl w:val="0"/>
          <w:numId w:val="2"/>
        </w:numPr>
        <w:suppressAutoHyphens/>
        <w:autoSpaceDE w:val="0"/>
        <w:autoSpaceDN w:val="0"/>
        <w:jc w:val="both"/>
      </w:pPr>
      <w:r>
        <w:t xml:space="preserve">A first guide for </w:t>
      </w:r>
      <w:r w:rsidR="00481171">
        <w:t xml:space="preserve">a </w:t>
      </w:r>
      <w:r>
        <w:t>regional guidelines</w:t>
      </w:r>
      <w:r w:rsidR="00481171">
        <w:t xml:space="preserve"> publication</w:t>
      </w:r>
      <w:r>
        <w:t xml:space="preserve"> on short term statistics will be presented at the EGM </w:t>
      </w:r>
      <w:r w:rsidR="00481171">
        <w:t xml:space="preserve">and </w:t>
      </w:r>
      <w:r>
        <w:t>will focus on methodologies and ways to overcome constraints</w:t>
      </w:r>
      <w:r w:rsidR="000E06F6">
        <w:t xml:space="preserve"> in the region. Experts and countries</w:t>
      </w:r>
      <w:r w:rsidR="00481171">
        <w:t>’</w:t>
      </w:r>
      <w:r w:rsidR="000E06F6">
        <w:t xml:space="preserve"> representatives will discuss their views and present their reco</w:t>
      </w:r>
      <w:r w:rsidR="00481171">
        <w:t>mmendations to be incorporated in the final version of the publication.</w:t>
      </w:r>
    </w:p>
    <w:p w:rsidR="000E06F6" w:rsidRPr="00242234" w:rsidRDefault="000E06F6" w:rsidP="00481171">
      <w:pPr>
        <w:pStyle w:val="ListParagraph"/>
        <w:widowControl w:val="0"/>
        <w:numPr>
          <w:ilvl w:val="0"/>
          <w:numId w:val="2"/>
        </w:numPr>
        <w:suppressAutoHyphens/>
        <w:autoSpaceDE w:val="0"/>
        <w:autoSpaceDN w:val="0"/>
        <w:jc w:val="both"/>
      </w:pPr>
      <w:r>
        <w:t xml:space="preserve">Experts will review in more detail </w:t>
      </w:r>
      <w:r w:rsidR="00242234" w:rsidRPr="00803EE7">
        <w:rPr>
          <w:sz w:val="22"/>
          <w:szCs w:val="22"/>
        </w:rPr>
        <w:t xml:space="preserve">the key concepts </w:t>
      </w:r>
      <w:r w:rsidR="00242234">
        <w:rPr>
          <w:sz w:val="22"/>
          <w:szCs w:val="22"/>
        </w:rPr>
        <w:t xml:space="preserve">and </w:t>
      </w:r>
      <w:r w:rsidR="00481171">
        <w:t xml:space="preserve">the methodologies pertaining to </w:t>
      </w:r>
      <w:r>
        <w:t>the compilation process of the</w:t>
      </w:r>
      <w:r w:rsidR="00481171">
        <w:t xml:space="preserve"> priority short term statistics to the member countries, including Flash GDP, the</w:t>
      </w:r>
      <w:r>
        <w:t xml:space="preserve"> Production Price Index, the Price Index for Industry and the Export and Import </w:t>
      </w:r>
      <w:r>
        <w:lastRenderedPageBreak/>
        <w:t>Pri</w:t>
      </w:r>
      <w:r w:rsidR="00481171">
        <w:t>ce Indexes (XMPI).</w:t>
      </w:r>
    </w:p>
    <w:p w:rsidR="00242234" w:rsidRDefault="00401224" w:rsidP="00481171">
      <w:pPr>
        <w:pStyle w:val="ListParagraph"/>
        <w:widowControl w:val="0"/>
        <w:numPr>
          <w:ilvl w:val="0"/>
          <w:numId w:val="2"/>
        </w:numPr>
        <w:suppressAutoHyphens/>
        <w:autoSpaceDE w:val="0"/>
        <w:autoSpaceDN w:val="0"/>
        <w:jc w:val="both"/>
        <w:rPr>
          <w:sz w:val="22"/>
          <w:szCs w:val="22"/>
        </w:rPr>
      </w:pPr>
      <w:r>
        <w:rPr>
          <w:sz w:val="22"/>
          <w:szCs w:val="22"/>
        </w:rPr>
        <w:t>Experts will d</w:t>
      </w:r>
      <w:r w:rsidR="00481171">
        <w:rPr>
          <w:sz w:val="22"/>
          <w:szCs w:val="22"/>
        </w:rPr>
        <w:t>iscuss the methodologies for the production of</w:t>
      </w:r>
      <w:r w:rsidR="00242234">
        <w:rPr>
          <w:sz w:val="22"/>
          <w:szCs w:val="22"/>
        </w:rPr>
        <w:t xml:space="preserve"> composite indicators and their importance as a useful tool in policy analysis </w:t>
      </w:r>
      <w:r w:rsidR="00481171">
        <w:rPr>
          <w:sz w:val="22"/>
          <w:szCs w:val="22"/>
        </w:rPr>
        <w:t>and as an</w:t>
      </w:r>
      <w:r w:rsidR="00481171">
        <w:rPr>
          <w:rFonts w:eastAsia="PMingLiU"/>
        </w:rPr>
        <w:t xml:space="preserve"> early signal about the business cycle.</w:t>
      </w:r>
    </w:p>
    <w:p w:rsidR="00DE3DCB" w:rsidRDefault="00401224" w:rsidP="00570D86">
      <w:pPr>
        <w:pStyle w:val="ListParagraph"/>
        <w:widowControl w:val="0"/>
        <w:numPr>
          <w:ilvl w:val="0"/>
          <w:numId w:val="2"/>
        </w:numPr>
        <w:suppressAutoHyphens/>
        <w:autoSpaceDE w:val="0"/>
        <w:autoSpaceDN w:val="0"/>
        <w:jc w:val="both"/>
        <w:rPr>
          <w:sz w:val="22"/>
          <w:szCs w:val="22"/>
        </w:rPr>
      </w:pPr>
      <w:r>
        <w:rPr>
          <w:sz w:val="22"/>
          <w:szCs w:val="22"/>
        </w:rPr>
        <w:t>The EGM will provide a platform for the e</w:t>
      </w:r>
      <w:r w:rsidR="00526145">
        <w:rPr>
          <w:sz w:val="22"/>
          <w:szCs w:val="22"/>
        </w:rPr>
        <w:t>xchange of experiences among count</w:t>
      </w:r>
      <w:r w:rsidR="00570D86">
        <w:rPr>
          <w:sz w:val="22"/>
          <w:szCs w:val="22"/>
        </w:rPr>
        <w:t>ries in the region and outside.</w:t>
      </w:r>
    </w:p>
    <w:p w:rsidR="002C762E" w:rsidRPr="00245764" w:rsidRDefault="002C762E" w:rsidP="002C762E">
      <w:pPr>
        <w:tabs>
          <w:tab w:val="left" w:pos="360"/>
        </w:tabs>
        <w:autoSpaceDE w:val="0"/>
        <w:autoSpaceDN w:val="0"/>
        <w:adjustRightInd w:val="0"/>
        <w:spacing w:line="240" w:lineRule="atLeast"/>
        <w:jc w:val="both"/>
        <w:rPr>
          <w:u w:val="single"/>
        </w:rPr>
      </w:pPr>
    </w:p>
    <w:p w:rsidR="002C762E" w:rsidRPr="00503BD6" w:rsidRDefault="002C762E" w:rsidP="002C762E">
      <w:pPr>
        <w:autoSpaceDE w:val="0"/>
        <w:autoSpaceDN w:val="0"/>
        <w:adjustRightInd w:val="0"/>
        <w:spacing w:line="180" w:lineRule="exact"/>
        <w:jc w:val="both"/>
        <w:rPr>
          <w:b/>
          <w:lang w:val="en-GB"/>
        </w:rPr>
      </w:pPr>
    </w:p>
    <w:p w:rsidR="002C762E" w:rsidRPr="009C4262" w:rsidRDefault="00813911" w:rsidP="00A35781">
      <w:pPr>
        <w:autoSpaceDE w:val="0"/>
        <w:autoSpaceDN w:val="0"/>
        <w:adjustRightInd w:val="0"/>
        <w:jc w:val="both"/>
        <w:rPr>
          <w:b/>
          <w:lang w:val="en-GB"/>
        </w:rPr>
      </w:pPr>
      <w:r>
        <w:rPr>
          <w:b/>
          <w:lang w:val="en-GB"/>
        </w:rPr>
        <w:t>I</w:t>
      </w:r>
      <w:r w:rsidR="00A35781">
        <w:rPr>
          <w:b/>
          <w:lang w:val="en-GB"/>
        </w:rPr>
        <w:t>II</w:t>
      </w:r>
      <w:r w:rsidR="002C762E">
        <w:rPr>
          <w:b/>
          <w:lang w:val="en-GB"/>
        </w:rPr>
        <w:t xml:space="preserve">. </w:t>
      </w:r>
      <w:r w:rsidR="002C762E" w:rsidRPr="009C4262">
        <w:rPr>
          <w:b/>
          <w:lang w:val="en-GB"/>
        </w:rPr>
        <w:t>Date and venue</w:t>
      </w:r>
    </w:p>
    <w:p w:rsidR="002C762E" w:rsidRDefault="002C762E" w:rsidP="002C762E">
      <w:pPr>
        <w:autoSpaceDE w:val="0"/>
        <w:autoSpaceDN w:val="0"/>
        <w:adjustRightInd w:val="0"/>
        <w:spacing w:line="180" w:lineRule="exact"/>
        <w:jc w:val="both"/>
        <w:rPr>
          <w:lang w:val="en-GB"/>
        </w:rPr>
      </w:pPr>
    </w:p>
    <w:p w:rsidR="002C762E" w:rsidRPr="00503BD6" w:rsidRDefault="002C762E" w:rsidP="00813911">
      <w:pPr>
        <w:autoSpaceDE w:val="0"/>
        <w:autoSpaceDN w:val="0"/>
        <w:adjustRightInd w:val="0"/>
        <w:jc w:val="both"/>
        <w:rPr>
          <w:lang w:val="en-GB"/>
        </w:rPr>
      </w:pPr>
      <w:r w:rsidRPr="00813911">
        <w:rPr>
          <w:lang w:val="en-GB"/>
        </w:rPr>
        <w:t xml:space="preserve">The meeting will be held at the </w:t>
      </w:r>
      <w:r w:rsidR="00813911" w:rsidRPr="00813911">
        <w:rPr>
          <w:highlight w:val="yellow"/>
          <w:lang w:val="en-GB"/>
        </w:rPr>
        <w:t>Ramada Plaza</w:t>
      </w:r>
      <w:r w:rsidR="00813911">
        <w:rPr>
          <w:lang w:val="en-GB"/>
        </w:rPr>
        <w:t>, Tunis</w:t>
      </w:r>
      <w:r w:rsidRPr="00813911">
        <w:rPr>
          <w:lang w:val="en-GB"/>
        </w:rPr>
        <w:t xml:space="preserve">, </w:t>
      </w:r>
      <w:r w:rsidR="00962338" w:rsidRPr="00813911">
        <w:rPr>
          <w:lang w:val="en-GB"/>
        </w:rPr>
        <w:t>Tunisia</w:t>
      </w:r>
      <w:r w:rsidRPr="00813911">
        <w:rPr>
          <w:lang w:val="en-GB"/>
        </w:rPr>
        <w:t xml:space="preserve"> from </w:t>
      </w:r>
      <w:r w:rsidR="00962338" w:rsidRPr="00813911">
        <w:rPr>
          <w:lang w:val="en-GB"/>
        </w:rPr>
        <w:t>16</w:t>
      </w:r>
      <w:r w:rsidRPr="00813911">
        <w:rPr>
          <w:lang w:val="en-GB"/>
        </w:rPr>
        <w:t xml:space="preserve"> to </w:t>
      </w:r>
      <w:r w:rsidR="00962338" w:rsidRPr="00813911">
        <w:rPr>
          <w:lang w:val="en-GB"/>
        </w:rPr>
        <w:t>18</w:t>
      </w:r>
      <w:r w:rsidRPr="00813911">
        <w:rPr>
          <w:lang w:val="en-GB"/>
        </w:rPr>
        <w:t xml:space="preserve"> </w:t>
      </w:r>
      <w:r w:rsidR="00962338" w:rsidRPr="00813911">
        <w:rPr>
          <w:lang w:val="en-GB"/>
        </w:rPr>
        <w:t>February</w:t>
      </w:r>
      <w:r w:rsidRPr="00813911">
        <w:rPr>
          <w:lang w:val="en-GB"/>
        </w:rPr>
        <w:t xml:space="preserve"> 20</w:t>
      </w:r>
      <w:r w:rsidR="00962338" w:rsidRPr="00813911">
        <w:rPr>
          <w:lang w:val="en-GB"/>
        </w:rPr>
        <w:t>16</w:t>
      </w:r>
      <w:r w:rsidRPr="00813911">
        <w:rPr>
          <w:lang w:val="en-GB"/>
        </w:rPr>
        <w:t>.</w:t>
      </w:r>
    </w:p>
    <w:p w:rsidR="002C762E" w:rsidRPr="009C4262" w:rsidRDefault="002C762E" w:rsidP="002C762E">
      <w:pPr>
        <w:autoSpaceDE w:val="0"/>
        <w:autoSpaceDN w:val="0"/>
        <w:adjustRightInd w:val="0"/>
        <w:spacing w:line="180" w:lineRule="exact"/>
        <w:jc w:val="both"/>
        <w:rPr>
          <w:color w:val="000000"/>
        </w:rPr>
      </w:pPr>
    </w:p>
    <w:p w:rsidR="002C762E" w:rsidRPr="009C4262" w:rsidRDefault="00A35781" w:rsidP="00813911">
      <w:pPr>
        <w:autoSpaceDE w:val="0"/>
        <w:autoSpaceDN w:val="0"/>
        <w:adjustRightInd w:val="0"/>
        <w:jc w:val="both"/>
        <w:rPr>
          <w:b/>
          <w:lang w:val="en-GB"/>
        </w:rPr>
      </w:pPr>
      <w:r>
        <w:rPr>
          <w:b/>
          <w:lang w:val="en-GB"/>
        </w:rPr>
        <w:t>I</w:t>
      </w:r>
      <w:r w:rsidR="002C762E" w:rsidRPr="009C4262">
        <w:rPr>
          <w:b/>
          <w:lang w:val="en-GB"/>
        </w:rPr>
        <w:t>V</w:t>
      </w:r>
      <w:r w:rsidR="002C762E">
        <w:rPr>
          <w:b/>
          <w:lang w:val="en-GB"/>
        </w:rPr>
        <w:t xml:space="preserve">. </w:t>
      </w:r>
      <w:r w:rsidR="002C762E" w:rsidRPr="009C4262">
        <w:rPr>
          <w:b/>
          <w:lang w:val="en-GB"/>
        </w:rPr>
        <w:t>Documentation, methods of work and official languages</w:t>
      </w:r>
    </w:p>
    <w:p w:rsidR="002C762E" w:rsidRDefault="002C762E" w:rsidP="002C762E">
      <w:pPr>
        <w:autoSpaceDE w:val="0"/>
        <w:autoSpaceDN w:val="0"/>
        <w:adjustRightInd w:val="0"/>
        <w:spacing w:line="180" w:lineRule="exact"/>
        <w:jc w:val="both"/>
        <w:rPr>
          <w:color w:val="000000"/>
          <w:lang w:val="en-GB"/>
        </w:rPr>
      </w:pPr>
    </w:p>
    <w:p w:rsidR="002C762E" w:rsidRPr="00962338" w:rsidRDefault="002C762E" w:rsidP="002C762E">
      <w:pPr>
        <w:autoSpaceDE w:val="0"/>
        <w:autoSpaceDN w:val="0"/>
        <w:adjustRightInd w:val="0"/>
        <w:jc w:val="both"/>
        <w:rPr>
          <w:color w:val="000000"/>
          <w:highlight w:val="yellow"/>
          <w:lang w:val="en-GB"/>
        </w:rPr>
      </w:pPr>
      <w:r w:rsidRPr="00813911">
        <w:rPr>
          <w:color w:val="000000"/>
          <w:lang w:val="en-GB"/>
        </w:rPr>
        <w:t>The working languages are English and Arabic. Interpretation will be available for both languages.</w:t>
      </w:r>
    </w:p>
    <w:p w:rsidR="002C762E" w:rsidRDefault="002C762E" w:rsidP="002C762E">
      <w:pPr>
        <w:autoSpaceDE w:val="0"/>
        <w:autoSpaceDN w:val="0"/>
        <w:adjustRightInd w:val="0"/>
        <w:spacing w:line="180" w:lineRule="exact"/>
        <w:jc w:val="both"/>
        <w:rPr>
          <w:b/>
          <w:lang w:val="en-GB"/>
        </w:rPr>
      </w:pPr>
    </w:p>
    <w:p w:rsidR="002C762E" w:rsidRPr="009C4262" w:rsidRDefault="00A35781" w:rsidP="00813911">
      <w:pPr>
        <w:autoSpaceDE w:val="0"/>
        <w:autoSpaceDN w:val="0"/>
        <w:adjustRightInd w:val="0"/>
        <w:jc w:val="both"/>
        <w:rPr>
          <w:b/>
          <w:lang w:val="en-GB"/>
        </w:rPr>
      </w:pPr>
      <w:r>
        <w:rPr>
          <w:b/>
          <w:lang w:val="en-GB"/>
        </w:rPr>
        <w:t>V</w:t>
      </w:r>
      <w:r w:rsidR="002C762E">
        <w:rPr>
          <w:b/>
          <w:lang w:val="en-GB"/>
        </w:rPr>
        <w:t xml:space="preserve">. </w:t>
      </w:r>
      <w:r w:rsidR="002C762E" w:rsidRPr="009C4262">
        <w:rPr>
          <w:b/>
          <w:lang w:val="en-GB"/>
        </w:rPr>
        <w:t>Accommodation and travel arrangements</w:t>
      </w:r>
    </w:p>
    <w:p w:rsidR="002C762E" w:rsidRDefault="002C762E" w:rsidP="002C762E">
      <w:pPr>
        <w:autoSpaceDE w:val="0"/>
        <w:autoSpaceDN w:val="0"/>
        <w:adjustRightInd w:val="0"/>
        <w:spacing w:line="180" w:lineRule="exact"/>
        <w:jc w:val="both"/>
        <w:rPr>
          <w:lang w:val="en-GB"/>
        </w:rPr>
      </w:pPr>
    </w:p>
    <w:p w:rsidR="002C762E" w:rsidRPr="00813911" w:rsidRDefault="002C762E" w:rsidP="00813911">
      <w:pPr>
        <w:autoSpaceDE w:val="0"/>
        <w:autoSpaceDN w:val="0"/>
        <w:adjustRightInd w:val="0"/>
        <w:rPr>
          <w:rFonts w:ascii="TimesNewRomanPSMT" w:hAnsi="TimesNewRomanPSMT" w:cs="TimesNewRomanPSMT"/>
          <w:color w:val="000000"/>
        </w:rPr>
      </w:pPr>
      <w:r w:rsidRPr="00813911">
        <w:rPr>
          <w:rFonts w:ascii="TimesNewRomanPSMT" w:hAnsi="TimesNewRomanPSMT" w:cs="TimesNewRomanPSMT"/>
          <w:color w:val="000000"/>
        </w:rPr>
        <w:t xml:space="preserve">The UN-ESCWA will cover the travel costs, Daily Subsistence Allowance (DSA) and Terminal expenses of </w:t>
      </w:r>
      <w:r w:rsidR="00813911" w:rsidRPr="00813911">
        <w:rPr>
          <w:rFonts w:ascii="TimesNewRomanPSMT" w:hAnsi="TimesNewRomanPSMT" w:cs="TimesNewRomanPSMT"/>
          <w:color w:val="000000"/>
        </w:rPr>
        <w:t>all participants.</w:t>
      </w:r>
    </w:p>
    <w:p w:rsidR="002C762E" w:rsidRPr="00813911" w:rsidRDefault="002C762E" w:rsidP="002C762E">
      <w:pPr>
        <w:autoSpaceDE w:val="0"/>
        <w:autoSpaceDN w:val="0"/>
        <w:adjustRightInd w:val="0"/>
        <w:spacing w:line="180" w:lineRule="exact"/>
        <w:rPr>
          <w:lang w:val="en-GB"/>
        </w:rPr>
      </w:pPr>
    </w:p>
    <w:p w:rsidR="002C762E" w:rsidRPr="00813911" w:rsidRDefault="002C762E" w:rsidP="00813911">
      <w:pPr>
        <w:autoSpaceDE w:val="0"/>
        <w:autoSpaceDN w:val="0"/>
        <w:adjustRightInd w:val="0"/>
        <w:rPr>
          <w:rFonts w:ascii="TimesNewRomanPSMT" w:hAnsi="TimesNewRomanPSMT" w:cs="TimesNewRomanPSMT"/>
          <w:color w:val="000000"/>
        </w:rPr>
      </w:pPr>
      <w:r w:rsidRPr="00813911">
        <w:rPr>
          <w:rFonts w:ascii="TimesNewRomanPSMT" w:hAnsi="TimesNewRomanPSMT" w:cs="TimesNewRomanPSMT"/>
          <w:color w:val="000000"/>
        </w:rPr>
        <w:t xml:space="preserve">Participants are expected to inquire on their entry visa requirements </w:t>
      </w:r>
      <w:r w:rsidR="00962338" w:rsidRPr="00813911">
        <w:rPr>
          <w:rFonts w:ascii="TimesNewRomanPSMT" w:hAnsi="TimesNewRomanPSMT" w:cs="TimesNewRomanPSMT"/>
          <w:color w:val="000000"/>
        </w:rPr>
        <w:t>to Tunisia</w:t>
      </w:r>
      <w:r w:rsidRPr="00813911">
        <w:rPr>
          <w:rFonts w:ascii="TimesNewRomanPSMT" w:hAnsi="TimesNewRomanPSMT" w:cs="TimesNewRomanPSMT"/>
          <w:color w:val="000000"/>
        </w:rPr>
        <w:t xml:space="preserve"> and to secure one ahead of their anticipated travel date. </w:t>
      </w:r>
    </w:p>
    <w:p w:rsidR="002C762E" w:rsidRPr="00813911" w:rsidRDefault="002C762E" w:rsidP="002C762E">
      <w:pPr>
        <w:autoSpaceDE w:val="0"/>
        <w:autoSpaceDN w:val="0"/>
        <w:adjustRightInd w:val="0"/>
      </w:pPr>
    </w:p>
    <w:p w:rsidR="002C762E" w:rsidRPr="00503BD6" w:rsidRDefault="002C762E" w:rsidP="000168A2">
      <w:pPr>
        <w:autoSpaceDE w:val="0"/>
        <w:autoSpaceDN w:val="0"/>
        <w:adjustRightInd w:val="0"/>
        <w:rPr>
          <w:lang w:val="en-GB"/>
        </w:rPr>
      </w:pPr>
      <w:r w:rsidRPr="00813911">
        <w:rPr>
          <w:lang w:val="en-GB"/>
        </w:rPr>
        <w:t>Nominated participants are requested to fill in the nomination form</w:t>
      </w:r>
      <w:r w:rsidR="00D65F7F">
        <w:rPr>
          <w:lang w:val="en-GB"/>
        </w:rPr>
        <w:t xml:space="preserve"> (</w:t>
      </w:r>
      <w:r w:rsidR="000168A2">
        <w:t>attached</w:t>
      </w:r>
      <w:r w:rsidR="00D65F7F">
        <w:rPr>
          <w:lang w:val="en-GB"/>
        </w:rPr>
        <w:t>)</w:t>
      </w:r>
      <w:r w:rsidRPr="00813911">
        <w:rPr>
          <w:lang w:val="en-GB"/>
        </w:rPr>
        <w:t xml:space="preserve"> and send copies of their passport in order to finalize the administrative arrangements concerning their travel.</w:t>
      </w:r>
      <w:r w:rsidRPr="00503BD6">
        <w:rPr>
          <w:lang w:val="en-GB"/>
        </w:rPr>
        <w:t xml:space="preserve"> </w:t>
      </w:r>
    </w:p>
    <w:p w:rsidR="002C762E" w:rsidRDefault="002C762E" w:rsidP="002C762E">
      <w:pPr>
        <w:autoSpaceDE w:val="0"/>
        <w:autoSpaceDN w:val="0"/>
        <w:adjustRightInd w:val="0"/>
        <w:spacing w:line="180" w:lineRule="exact"/>
      </w:pPr>
    </w:p>
    <w:p w:rsidR="002C762E" w:rsidRDefault="00A35781" w:rsidP="002C762E">
      <w:pPr>
        <w:autoSpaceDE w:val="0"/>
        <w:autoSpaceDN w:val="0"/>
        <w:adjustRightInd w:val="0"/>
        <w:rPr>
          <w:rFonts w:ascii="TimesNewRomanPS-BoldMT" w:hAnsi="TimesNewRomanPS-BoldMT" w:cs="TimesNewRomanPS-BoldMT"/>
          <w:b/>
          <w:bCs/>
          <w:color w:val="000000"/>
        </w:rPr>
      </w:pPr>
      <w:r w:rsidRPr="00A35781">
        <w:rPr>
          <w:b/>
          <w:lang w:val="en-GB"/>
        </w:rPr>
        <w:t>V</w:t>
      </w:r>
      <w:r>
        <w:rPr>
          <w:b/>
          <w:lang w:val="en-GB"/>
        </w:rPr>
        <w:t>I</w:t>
      </w:r>
      <w:r w:rsidRPr="00A35781">
        <w:rPr>
          <w:b/>
          <w:lang w:val="en-GB"/>
        </w:rPr>
        <w:t xml:space="preserve">. </w:t>
      </w:r>
      <w:r w:rsidR="002C762E" w:rsidRPr="00A35781">
        <w:rPr>
          <w:b/>
          <w:lang w:val="en-GB"/>
        </w:rPr>
        <w:t>Additional</w:t>
      </w:r>
      <w:r w:rsidR="002C762E">
        <w:rPr>
          <w:rFonts w:ascii="TimesNewRomanPS-BoldMT" w:hAnsi="TimesNewRomanPS-BoldMT" w:cs="TimesNewRomanPS-BoldMT"/>
          <w:b/>
          <w:bCs/>
          <w:color w:val="000000"/>
        </w:rPr>
        <w:t xml:space="preserve"> information</w:t>
      </w:r>
    </w:p>
    <w:p w:rsidR="00B1674B" w:rsidRDefault="00B1674B" w:rsidP="00B1674B">
      <w:pPr>
        <w:autoSpaceDE w:val="0"/>
        <w:autoSpaceDN w:val="0"/>
        <w:adjustRightInd w:val="0"/>
        <w:rPr>
          <w:rFonts w:ascii="TimesNewRomanPSMT" w:hAnsi="TimesNewRomanPSMT" w:cs="TimesNewRomanPSMT"/>
          <w:color w:val="000000"/>
        </w:rPr>
      </w:pPr>
    </w:p>
    <w:p w:rsidR="002C762E" w:rsidRDefault="002C762E" w:rsidP="00B1674B">
      <w:pPr>
        <w:autoSpaceDE w:val="0"/>
        <w:autoSpaceDN w:val="0"/>
        <w:adjustRightInd w:val="0"/>
        <w:rPr>
          <w:rFonts w:ascii="TimesNewRomanPSMT" w:hAnsi="TimesNewRomanPSMT" w:cs="TimesNewRomanPSMT"/>
          <w:color w:val="000000"/>
        </w:rPr>
      </w:pPr>
      <w:r w:rsidRPr="00813911">
        <w:rPr>
          <w:rFonts w:ascii="TimesNewRomanPSMT" w:hAnsi="TimesNewRomanPSMT" w:cs="TimesNewRomanPSMT"/>
          <w:color w:val="000000"/>
        </w:rPr>
        <w:t>Submissions</w:t>
      </w:r>
      <w:r w:rsidR="00B1674B">
        <w:rPr>
          <w:rFonts w:ascii="TimesNewRomanPSMT" w:hAnsi="TimesNewRomanPSMT" w:cs="TimesNewRomanPSMT"/>
          <w:color w:val="000000"/>
        </w:rPr>
        <w:t xml:space="preserve"> and</w:t>
      </w:r>
      <w:r w:rsidRPr="00813911">
        <w:rPr>
          <w:rFonts w:ascii="TimesNewRomanPSMT" w:hAnsi="TimesNewRomanPSMT" w:cs="TimesNewRomanPSMT"/>
          <w:color w:val="000000"/>
        </w:rPr>
        <w:t xml:space="preserve"> requests for additional information should be addressed to:</w:t>
      </w:r>
    </w:p>
    <w:p w:rsidR="00813911" w:rsidRDefault="00813911" w:rsidP="002C762E">
      <w:pPr>
        <w:autoSpaceDE w:val="0"/>
        <w:autoSpaceDN w:val="0"/>
        <w:adjustRightInd w:val="0"/>
        <w:rPr>
          <w:rFonts w:ascii="TimesNewRomanPSMT" w:hAnsi="TimesNewRomanPSMT" w:cs="TimesNewRomanPSMT"/>
          <w:color w:val="000000"/>
        </w:rPr>
      </w:pPr>
    </w:p>
    <w:p w:rsidR="00813911" w:rsidRDefault="00813911" w:rsidP="00813911">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Ms. Nadine Al-</w:t>
      </w:r>
      <w:proofErr w:type="spellStart"/>
      <w:r>
        <w:rPr>
          <w:rFonts w:ascii="TimesNewRomanPSMT" w:hAnsi="TimesNewRomanPSMT" w:cs="TimesNewRomanPSMT"/>
          <w:color w:val="000000"/>
        </w:rPr>
        <w:t>Hallak</w:t>
      </w:r>
      <w:proofErr w:type="spellEnd"/>
      <w:r>
        <w:rPr>
          <w:rFonts w:ascii="TimesNewRomanPSMT" w:hAnsi="TimesNewRomanPSMT" w:cs="TimesNewRomanPSMT"/>
          <w:color w:val="000000"/>
        </w:rPr>
        <w:t xml:space="preserve">. Email: </w:t>
      </w:r>
      <w:hyperlink r:id="rId7" w:history="1">
        <w:r w:rsidRPr="006F3871">
          <w:rPr>
            <w:rStyle w:val="Hyperlink"/>
            <w:rFonts w:ascii="TimesNewRomanPSMT" w:hAnsi="TimesNewRomanPSMT" w:cs="TimesNewRomanPSMT"/>
          </w:rPr>
          <w:t>al-hallak@un.org</w:t>
        </w:r>
      </w:hyperlink>
      <w:r>
        <w:rPr>
          <w:rFonts w:ascii="TimesNewRomanPSMT" w:hAnsi="TimesNewRomanPSMT" w:cs="TimesNewRomanPSMT"/>
          <w:color w:val="000000"/>
        </w:rPr>
        <w:t xml:space="preserve"> </w:t>
      </w:r>
    </w:p>
    <w:p w:rsidR="00813911" w:rsidRDefault="00813911" w:rsidP="00813911">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M. Roy </w:t>
      </w:r>
      <w:proofErr w:type="spellStart"/>
      <w:r>
        <w:rPr>
          <w:rFonts w:ascii="TimesNewRomanPSMT" w:hAnsi="TimesNewRomanPSMT" w:cs="TimesNewRomanPSMT"/>
          <w:color w:val="000000"/>
        </w:rPr>
        <w:t>Doumit</w:t>
      </w:r>
      <w:proofErr w:type="spellEnd"/>
      <w:r>
        <w:rPr>
          <w:rFonts w:ascii="TimesNewRomanPSMT" w:hAnsi="TimesNewRomanPSMT" w:cs="TimesNewRomanPSMT"/>
          <w:color w:val="000000"/>
        </w:rPr>
        <w:t xml:space="preserve">. Email: </w:t>
      </w:r>
      <w:hyperlink r:id="rId8" w:history="1">
        <w:r w:rsidRPr="006F3871">
          <w:rPr>
            <w:rStyle w:val="Hyperlink"/>
            <w:rFonts w:ascii="TimesNewRomanPSMT" w:hAnsi="TimesNewRomanPSMT" w:cs="TimesNewRomanPSMT"/>
          </w:rPr>
          <w:t>doumit@un.org</w:t>
        </w:r>
      </w:hyperlink>
      <w:r>
        <w:rPr>
          <w:rFonts w:ascii="TimesNewRomanPSMT" w:hAnsi="TimesNewRomanPSMT" w:cs="TimesNewRomanPSMT"/>
          <w:color w:val="000000"/>
        </w:rPr>
        <w:t>.</w:t>
      </w:r>
    </w:p>
    <w:p w:rsidR="00813911" w:rsidRDefault="00813911" w:rsidP="002C762E">
      <w:pPr>
        <w:autoSpaceDE w:val="0"/>
        <w:autoSpaceDN w:val="0"/>
        <w:adjustRightInd w:val="0"/>
        <w:rPr>
          <w:rFonts w:ascii="TimesNewRomanPSMT" w:hAnsi="TimesNewRomanPSMT" w:cs="TimesNewRomanPSMT"/>
          <w:color w:val="000000"/>
        </w:rPr>
      </w:pPr>
    </w:p>
    <w:p w:rsidR="002C762E" w:rsidRDefault="00B1674B" w:rsidP="00B1674B">
      <w:r w:rsidRPr="00B1674B">
        <w:t>Inquiries about substantive issues should be addressed to:</w:t>
      </w:r>
    </w:p>
    <w:p w:rsidR="00B1674B" w:rsidRDefault="00B1674B" w:rsidP="00B1674B"/>
    <w:p w:rsidR="00B1674B" w:rsidRDefault="00B1674B" w:rsidP="00B1674B">
      <w:r>
        <w:t xml:space="preserve">Ms. </w:t>
      </w:r>
      <w:proofErr w:type="spellStart"/>
      <w:r>
        <w:t>Fathia</w:t>
      </w:r>
      <w:proofErr w:type="spellEnd"/>
      <w:r>
        <w:t xml:space="preserve"> </w:t>
      </w:r>
      <w:proofErr w:type="spellStart"/>
      <w:r>
        <w:t>AbdelFadil</w:t>
      </w:r>
      <w:proofErr w:type="spellEnd"/>
      <w:r>
        <w:t xml:space="preserve">. Email: </w:t>
      </w:r>
      <w:hyperlink r:id="rId9" w:history="1">
        <w:r w:rsidRPr="006F3871">
          <w:rPr>
            <w:rStyle w:val="Hyperlink"/>
          </w:rPr>
          <w:t>abdelfadil@un.org</w:t>
        </w:r>
      </w:hyperlink>
    </w:p>
    <w:p w:rsidR="00B1674B" w:rsidRDefault="00B1674B" w:rsidP="00B1674B"/>
    <w:p w:rsidR="00B1674B" w:rsidRPr="00B1674B" w:rsidRDefault="00B1674B" w:rsidP="00B1674B"/>
    <w:p w:rsidR="00813911" w:rsidRDefault="00813911" w:rsidP="002C762E">
      <w:pPr>
        <w:rPr>
          <w:lang w:val="es-ES"/>
        </w:rPr>
      </w:pPr>
    </w:p>
    <w:p w:rsidR="002C762E" w:rsidRPr="00B1674B" w:rsidRDefault="002C762E" w:rsidP="002C762E">
      <w:pPr>
        <w:widowControl w:val="0"/>
        <w:suppressAutoHyphens/>
        <w:autoSpaceDE w:val="0"/>
        <w:autoSpaceDN w:val="0"/>
        <w:jc w:val="both"/>
        <w:rPr>
          <w:sz w:val="22"/>
          <w:szCs w:val="22"/>
          <w:lang w:val="es-ES"/>
        </w:rPr>
      </w:pPr>
    </w:p>
    <w:sectPr w:rsidR="002C762E" w:rsidRPr="00B1674B" w:rsidSect="007C4B64">
      <w:headerReference w:type="default" r:id="rId10"/>
      <w:pgSz w:w="12240" w:h="15840"/>
      <w:pgMar w:top="1650" w:right="117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E1" w:rsidRDefault="00FD5FE1" w:rsidP="0052741F">
      <w:r>
        <w:separator/>
      </w:r>
    </w:p>
  </w:endnote>
  <w:endnote w:type="continuationSeparator" w:id="0">
    <w:p w:rsidR="00FD5FE1" w:rsidRDefault="00FD5FE1" w:rsidP="0052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E1" w:rsidRDefault="00FD5FE1" w:rsidP="0052741F">
      <w:r>
        <w:separator/>
      </w:r>
    </w:p>
  </w:footnote>
  <w:footnote w:type="continuationSeparator" w:id="0">
    <w:p w:rsidR="00FD5FE1" w:rsidRDefault="00FD5FE1" w:rsidP="00527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670"/>
      <w:gridCol w:w="2422"/>
      <w:gridCol w:w="3704"/>
    </w:tblGrid>
    <w:tr w:rsidR="0052741F" w:rsidRPr="008A46DB" w:rsidTr="00E03AB7">
      <w:trPr>
        <w:trHeight w:val="1033"/>
      </w:trPr>
      <w:tc>
        <w:tcPr>
          <w:tcW w:w="3670" w:type="dxa"/>
        </w:tcPr>
        <w:p w:rsidR="0052741F" w:rsidRPr="008A46DB" w:rsidRDefault="0052741F" w:rsidP="00E03AB7">
          <w:pPr>
            <w:jc w:val="center"/>
          </w:pPr>
          <w:r w:rsidRPr="008A46DB">
            <w:rPr>
              <w:b/>
              <w:bCs/>
              <w:spacing w:val="64"/>
              <w:sz w:val="28"/>
              <w:szCs w:val="28"/>
            </w:rPr>
            <w:t>UNITED NATIONS</w:t>
          </w:r>
        </w:p>
        <w:p w:rsidR="0052741F" w:rsidRPr="008A46DB" w:rsidRDefault="0052741F" w:rsidP="00E03AB7">
          <w:pPr>
            <w:jc w:val="center"/>
          </w:pPr>
          <w:r w:rsidRPr="008A46DB">
            <w:t>Economic and Social Commission</w:t>
          </w:r>
        </w:p>
        <w:p w:rsidR="0052741F" w:rsidRPr="008A46DB" w:rsidRDefault="0052741F" w:rsidP="00E03AB7">
          <w:pPr>
            <w:jc w:val="center"/>
          </w:pPr>
          <w:r w:rsidRPr="008A46DB">
            <w:t xml:space="preserve">for </w:t>
          </w:r>
          <w:smartTag w:uri="urn:schemas-microsoft-com:office:smarttags" w:element="place">
            <w:r w:rsidRPr="008A46DB">
              <w:t>Western Asia</w:t>
            </w:r>
          </w:smartTag>
        </w:p>
        <w:p w:rsidR="0052741F" w:rsidRPr="008A46DB" w:rsidRDefault="0052741F" w:rsidP="00E03AB7">
          <w:pPr>
            <w:jc w:val="center"/>
          </w:pPr>
        </w:p>
      </w:tc>
      <w:tc>
        <w:tcPr>
          <w:tcW w:w="2422" w:type="dxa"/>
        </w:tcPr>
        <w:p w:rsidR="0052741F" w:rsidRPr="008A46DB" w:rsidRDefault="0052741F" w:rsidP="00E03AB7">
          <w:pPr>
            <w:jc w:val="center"/>
          </w:pPr>
          <w:r>
            <w:rPr>
              <w:rFonts w:ascii="Verdana" w:hAnsi="Verdana" w:cs="Verdana"/>
              <w:noProof/>
              <w:sz w:val="20"/>
              <w:szCs w:val="20"/>
              <w:lang w:bidi="ar-SA"/>
            </w:rPr>
            <w:drawing>
              <wp:anchor distT="0" distB="0" distL="114300" distR="114300" simplePos="0" relativeHeight="251659264" behindDoc="0" locked="0" layoutInCell="1" allowOverlap="1">
                <wp:simplePos x="0" y="0"/>
                <wp:positionH relativeFrom="column">
                  <wp:posOffset>275590</wp:posOffset>
                </wp:positionH>
                <wp:positionV relativeFrom="paragraph">
                  <wp:posOffset>-88265</wp:posOffset>
                </wp:positionV>
                <wp:extent cx="847725" cy="723900"/>
                <wp:effectExtent l="19050" t="0" r="9525" b="0"/>
                <wp:wrapNone/>
                <wp:docPr id="2" name="Picture 2" descr="UN 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embleme"/>
                        <pic:cNvPicPr>
                          <a:picLocks noChangeAspect="1" noChangeArrowheads="1"/>
                        </pic:cNvPicPr>
                      </pic:nvPicPr>
                      <pic:blipFill>
                        <a:blip r:embed="rId1"/>
                        <a:srcRect/>
                        <a:stretch>
                          <a:fillRect/>
                        </a:stretch>
                      </pic:blipFill>
                      <pic:spPr bwMode="auto">
                        <a:xfrm>
                          <a:off x="0" y="0"/>
                          <a:ext cx="847725" cy="723900"/>
                        </a:xfrm>
                        <a:prstGeom prst="rect">
                          <a:avLst/>
                        </a:prstGeom>
                        <a:noFill/>
                      </pic:spPr>
                    </pic:pic>
                  </a:graphicData>
                </a:graphic>
              </wp:anchor>
            </w:drawing>
          </w:r>
        </w:p>
      </w:tc>
      <w:tc>
        <w:tcPr>
          <w:tcW w:w="3704" w:type="dxa"/>
        </w:tcPr>
        <w:p w:rsidR="0052741F" w:rsidRPr="008A46DB" w:rsidRDefault="0052741F" w:rsidP="00E03AB7">
          <w:pPr>
            <w:jc w:val="center"/>
            <w:rPr>
              <w:lang w:eastAsia="fr-FR"/>
            </w:rPr>
          </w:pPr>
          <w:r w:rsidRPr="008A46DB">
            <w:rPr>
              <w:b/>
              <w:bCs/>
              <w:spacing w:val="70"/>
              <w:sz w:val="28"/>
              <w:szCs w:val="28"/>
              <w:lang w:eastAsia="fr-FR"/>
            </w:rPr>
            <w:t>NATIONS UNIES</w:t>
          </w:r>
        </w:p>
        <w:p w:rsidR="0052741F" w:rsidRPr="008A46DB" w:rsidRDefault="0052741F" w:rsidP="00E03AB7">
          <w:pPr>
            <w:jc w:val="center"/>
            <w:rPr>
              <w:lang w:eastAsia="fr-FR"/>
            </w:rPr>
          </w:pPr>
          <w:r w:rsidRPr="008A46DB">
            <w:rPr>
              <w:lang w:eastAsia="fr-FR"/>
            </w:rPr>
            <w:t xml:space="preserve">Commission </w:t>
          </w:r>
          <w:proofErr w:type="spellStart"/>
          <w:r w:rsidRPr="008A46DB">
            <w:rPr>
              <w:lang w:eastAsia="fr-FR"/>
            </w:rPr>
            <w:t>économique</w:t>
          </w:r>
          <w:proofErr w:type="spellEnd"/>
          <w:r w:rsidRPr="008A46DB">
            <w:rPr>
              <w:lang w:eastAsia="fr-FR"/>
            </w:rPr>
            <w:t xml:space="preserve"> et </w:t>
          </w:r>
          <w:proofErr w:type="spellStart"/>
          <w:r w:rsidRPr="008A46DB">
            <w:rPr>
              <w:lang w:eastAsia="fr-FR"/>
            </w:rPr>
            <w:t>sociale</w:t>
          </w:r>
          <w:proofErr w:type="spellEnd"/>
        </w:p>
        <w:p w:rsidR="0052741F" w:rsidRPr="008A46DB" w:rsidRDefault="0052741F" w:rsidP="00E03AB7">
          <w:pPr>
            <w:jc w:val="center"/>
            <w:rPr>
              <w:lang w:eastAsia="fr-FR"/>
            </w:rPr>
          </w:pPr>
          <w:r w:rsidRPr="008A46DB">
            <w:rPr>
              <w:lang w:eastAsia="fr-FR"/>
            </w:rPr>
            <w:t xml:space="preserve">pour </w:t>
          </w:r>
          <w:proofErr w:type="spellStart"/>
          <w:r w:rsidRPr="008A46DB">
            <w:rPr>
              <w:lang w:eastAsia="fr-FR"/>
            </w:rPr>
            <w:t>l’Asie</w:t>
          </w:r>
          <w:proofErr w:type="spellEnd"/>
          <w:r w:rsidRPr="008A46DB">
            <w:rPr>
              <w:lang w:eastAsia="fr-FR"/>
            </w:rPr>
            <w:t xml:space="preserve"> </w:t>
          </w:r>
          <w:proofErr w:type="spellStart"/>
          <w:r w:rsidRPr="008A46DB">
            <w:rPr>
              <w:lang w:eastAsia="fr-FR"/>
            </w:rPr>
            <w:t>occidentale</w:t>
          </w:r>
          <w:proofErr w:type="spellEnd"/>
        </w:p>
        <w:p w:rsidR="0052741F" w:rsidRPr="008A46DB" w:rsidRDefault="0052741F" w:rsidP="00E03AB7">
          <w:pPr>
            <w:jc w:val="center"/>
            <w:rPr>
              <w:lang w:eastAsia="fr-FR"/>
            </w:rPr>
          </w:pPr>
        </w:p>
      </w:tc>
    </w:tr>
  </w:tbl>
  <w:p w:rsidR="0052741F" w:rsidRDefault="00527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360F"/>
    <w:multiLevelType w:val="hybridMultilevel"/>
    <w:tmpl w:val="E9B6B1B4"/>
    <w:lvl w:ilvl="0" w:tplc="FFFFFFFF">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840"/>
        </w:tabs>
        <w:ind w:left="840" w:hanging="42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7A1B3CC1"/>
    <w:multiLevelType w:val="hybridMultilevel"/>
    <w:tmpl w:val="316A382C"/>
    <w:lvl w:ilvl="0" w:tplc="15769C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6F4F"/>
    <w:rsid w:val="000168A2"/>
    <w:rsid w:val="000234ED"/>
    <w:rsid w:val="000507BD"/>
    <w:rsid w:val="0006184F"/>
    <w:rsid w:val="000E06F6"/>
    <w:rsid w:val="0015341A"/>
    <w:rsid w:val="00160FDD"/>
    <w:rsid w:val="001D0D64"/>
    <w:rsid w:val="00242234"/>
    <w:rsid w:val="00260907"/>
    <w:rsid w:val="00290574"/>
    <w:rsid w:val="002C762E"/>
    <w:rsid w:val="0033510B"/>
    <w:rsid w:val="00383BDA"/>
    <w:rsid w:val="003A2C5F"/>
    <w:rsid w:val="00401224"/>
    <w:rsid w:val="00472735"/>
    <w:rsid w:val="00473DA7"/>
    <w:rsid w:val="00477486"/>
    <w:rsid w:val="00481171"/>
    <w:rsid w:val="00500AB5"/>
    <w:rsid w:val="00526145"/>
    <w:rsid w:val="0052741F"/>
    <w:rsid w:val="005359F4"/>
    <w:rsid w:val="00570D86"/>
    <w:rsid w:val="005E4031"/>
    <w:rsid w:val="007300E1"/>
    <w:rsid w:val="00751BFF"/>
    <w:rsid w:val="00782D5D"/>
    <w:rsid w:val="007C4B64"/>
    <w:rsid w:val="00813911"/>
    <w:rsid w:val="0083143F"/>
    <w:rsid w:val="008A59C6"/>
    <w:rsid w:val="00913AFE"/>
    <w:rsid w:val="00962338"/>
    <w:rsid w:val="00A35781"/>
    <w:rsid w:val="00B1674B"/>
    <w:rsid w:val="00BE194E"/>
    <w:rsid w:val="00C373C0"/>
    <w:rsid w:val="00D61F5E"/>
    <w:rsid w:val="00D65F7F"/>
    <w:rsid w:val="00DE3DCB"/>
    <w:rsid w:val="00E234C5"/>
    <w:rsid w:val="00E957E9"/>
    <w:rsid w:val="00F839DB"/>
    <w:rsid w:val="00FC6F4F"/>
    <w:rsid w:val="00FD5F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4F"/>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
    <w:name w:val="Char Char Char Char Char Char1"/>
    <w:basedOn w:val="Normal"/>
    <w:rsid w:val="00DE3DCB"/>
    <w:pPr>
      <w:spacing w:after="160" w:line="240" w:lineRule="exact"/>
    </w:pPr>
    <w:rPr>
      <w:rFonts w:ascii="Verdana" w:hAnsi="Verdana"/>
      <w:sz w:val="20"/>
      <w:szCs w:val="20"/>
      <w:lang w:val="en-GB" w:bidi="ar-SA"/>
    </w:rPr>
  </w:style>
  <w:style w:type="paragraph" w:styleId="ListParagraph">
    <w:name w:val="List Paragraph"/>
    <w:basedOn w:val="Normal"/>
    <w:uiPriority w:val="34"/>
    <w:qFormat/>
    <w:rsid w:val="00782D5D"/>
    <w:pPr>
      <w:ind w:left="720"/>
      <w:contextualSpacing/>
    </w:pPr>
  </w:style>
  <w:style w:type="paragraph" w:styleId="Header">
    <w:name w:val="header"/>
    <w:basedOn w:val="Normal"/>
    <w:link w:val="HeaderChar"/>
    <w:uiPriority w:val="99"/>
    <w:semiHidden/>
    <w:unhideWhenUsed/>
    <w:rsid w:val="0052741F"/>
    <w:pPr>
      <w:tabs>
        <w:tab w:val="center" w:pos="4680"/>
        <w:tab w:val="right" w:pos="9360"/>
      </w:tabs>
    </w:pPr>
  </w:style>
  <w:style w:type="character" w:customStyle="1" w:styleId="HeaderChar">
    <w:name w:val="Header Char"/>
    <w:basedOn w:val="DefaultParagraphFont"/>
    <w:link w:val="Header"/>
    <w:uiPriority w:val="99"/>
    <w:semiHidden/>
    <w:rsid w:val="0052741F"/>
    <w:rPr>
      <w:rFonts w:ascii="Times New Roman" w:eastAsia="Times New Roman" w:hAnsi="Times New Roman" w:cs="Times New Roman"/>
      <w:sz w:val="24"/>
      <w:szCs w:val="24"/>
      <w:lang w:bidi="ar-DZ"/>
    </w:rPr>
  </w:style>
  <w:style w:type="paragraph" w:styleId="Footer">
    <w:name w:val="footer"/>
    <w:basedOn w:val="Normal"/>
    <w:link w:val="FooterChar"/>
    <w:uiPriority w:val="99"/>
    <w:semiHidden/>
    <w:unhideWhenUsed/>
    <w:rsid w:val="0052741F"/>
    <w:pPr>
      <w:tabs>
        <w:tab w:val="center" w:pos="4680"/>
        <w:tab w:val="right" w:pos="9360"/>
      </w:tabs>
    </w:pPr>
  </w:style>
  <w:style w:type="character" w:customStyle="1" w:styleId="FooterChar">
    <w:name w:val="Footer Char"/>
    <w:basedOn w:val="DefaultParagraphFont"/>
    <w:link w:val="Footer"/>
    <w:uiPriority w:val="99"/>
    <w:semiHidden/>
    <w:rsid w:val="0052741F"/>
    <w:rPr>
      <w:rFonts w:ascii="Times New Roman" w:eastAsia="Times New Roman" w:hAnsi="Times New Roman" w:cs="Times New Roman"/>
      <w:sz w:val="24"/>
      <w:szCs w:val="24"/>
      <w:lang w:bidi="ar-DZ"/>
    </w:rPr>
  </w:style>
  <w:style w:type="character" w:styleId="Hyperlink">
    <w:name w:val="Hyperlink"/>
    <w:basedOn w:val="DefaultParagraphFont"/>
    <w:rsid w:val="002C762E"/>
    <w:rPr>
      <w:color w:val="0000FF"/>
      <w:u w:val="single"/>
    </w:rPr>
  </w:style>
  <w:style w:type="paragraph" w:styleId="Title">
    <w:name w:val="Title"/>
    <w:basedOn w:val="Normal"/>
    <w:link w:val="TitleChar"/>
    <w:qFormat/>
    <w:rsid w:val="00A35781"/>
    <w:pPr>
      <w:tabs>
        <w:tab w:val="left" w:pos="1134"/>
      </w:tabs>
      <w:bidi/>
      <w:spacing w:line="340" w:lineRule="atLeast"/>
      <w:ind w:left="1134" w:right="1134" w:hanging="1134"/>
      <w:jc w:val="center"/>
    </w:pPr>
    <w:rPr>
      <w:rFonts w:cs="Traditional Arabic"/>
      <w:b/>
      <w:bCs/>
      <w:noProof/>
      <w:sz w:val="32"/>
      <w:szCs w:val="38"/>
      <w:lang w:bidi="ar-SA"/>
    </w:rPr>
  </w:style>
  <w:style w:type="character" w:customStyle="1" w:styleId="TitleChar">
    <w:name w:val="Title Char"/>
    <w:basedOn w:val="DefaultParagraphFont"/>
    <w:link w:val="Title"/>
    <w:rsid w:val="00A35781"/>
    <w:rPr>
      <w:rFonts w:ascii="Times New Roman" w:eastAsia="Times New Roman" w:hAnsi="Times New Roman" w:cs="Traditional Arabic"/>
      <w:b/>
      <w:bCs/>
      <w:noProof/>
      <w:sz w:val="32"/>
      <w:szCs w:val="3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mit@un.org" TargetMode="External"/><Relationship Id="rId3" Type="http://schemas.openxmlformats.org/officeDocument/2006/relationships/settings" Target="settings.xml"/><Relationship Id="rId7" Type="http://schemas.openxmlformats.org/officeDocument/2006/relationships/hyperlink" Target="mailto:al-hallak@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delfadil@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 Nassar</dc:creator>
  <cp:lastModifiedBy>Rawan Nassar</cp:lastModifiedBy>
  <cp:revision>22</cp:revision>
  <cp:lastPrinted>2015-12-21T10:55:00Z</cp:lastPrinted>
  <dcterms:created xsi:type="dcterms:W3CDTF">2015-12-21T07:35:00Z</dcterms:created>
  <dcterms:modified xsi:type="dcterms:W3CDTF">2015-12-22T08:13:00Z</dcterms:modified>
</cp:coreProperties>
</file>