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FE" w:rsidRPr="00427631" w:rsidRDefault="00835FFE" w:rsidP="00835FFE">
      <w:pPr>
        <w:spacing w:line="276" w:lineRule="auto"/>
        <w:rPr>
          <w:sz w:val="28"/>
          <w:szCs w:val="28"/>
          <w:u w:val="single"/>
          <w:rtl/>
          <w:lang w:bidi="ar-LB"/>
        </w:rPr>
      </w:pPr>
      <w:r w:rsidRPr="00427631">
        <w:rPr>
          <w:sz w:val="28"/>
          <w:szCs w:val="28"/>
          <w:u w:val="single"/>
          <w:rtl/>
          <w:lang w:bidi="ar-LB"/>
        </w:rPr>
        <w:t>عمل تطبيقي متعلق بمفهوم المستثمر الأجنبي</w:t>
      </w:r>
    </w:p>
    <w:p w:rsidR="00835FFE" w:rsidRPr="00427631" w:rsidRDefault="00835FFE" w:rsidP="00835FFE">
      <w:pPr>
        <w:spacing w:line="276" w:lineRule="auto"/>
        <w:rPr>
          <w:sz w:val="28"/>
          <w:szCs w:val="28"/>
          <w:u w:val="single"/>
          <w:rtl/>
          <w:lang w:bidi="ar-LB"/>
        </w:rPr>
      </w:pPr>
    </w:p>
    <w:p w:rsidR="00835FFE" w:rsidRPr="00427631" w:rsidRDefault="00835FFE" w:rsidP="00835FFE">
      <w:pPr>
        <w:spacing w:line="276" w:lineRule="auto"/>
        <w:rPr>
          <w:sz w:val="28"/>
          <w:szCs w:val="28"/>
          <w:rtl/>
          <w:lang w:bidi="ar-LB"/>
        </w:rPr>
      </w:pPr>
      <w:proofErr w:type="gramStart"/>
      <w:r w:rsidRPr="00427631">
        <w:rPr>
          <w:sz w:val="28"/>
          <w:szCs w:val="28"/>
          <w:rtl/>
          <w:lang w:bidi="ar-LB"/>
        </w:rPr>
        <w:t>شركة</w:t>
      </w:r>
      <w:proofErr w:type="gramEnd"/>
      <w:r w:rsidRPr="00427631">
        <w:rPr>
          <w:sz w:val="28"/>
          <w:szCs w:val="28"/>
          <w:rtl/>
          <w:lang w:bidi="ar-LB"/>
        </w:rPr>
        <w:t xml:space="preserve"> كورية فاعلة في مجال الطاقة الكهربائية شاركت في مناقصة منظمة من الدولة الإماراتية لتشغيل وصيانة معمل كهربائي في الإمارات. رست المناقصة على الشركة الكورية. لغايات تشغيل وصيانة المعمل المذكور والاستناد للقوانين الإماراتية المرعية الإجراء ألزمت الشركة الكورية بتأسيس شركة وطنية إماراتية. توزعت أسهم الشركة الإماراتية بين الشركة الكورية بنسبة </w:t>
      </w:r>
      <w:r w:rsidRPr="00427631">
        <w:rPr>
          <w:sz w:val="28"/>
          <w:szCs w:val="28"/>
          <w:lang w:bidi="ar-LB"/>
        </w:rPr>
        <w:t>30%</w:t>
      </w:r>
      <w:r w:rsidRPr="00427631">
        <w:rPr>
          <w:sz w:val="28"/>
          <w:szCs w:val="28"/>
          <w:rtl/>
          <w:lang w:bidi="ar-LB"/>
        </w:rPr>
        <w:t xml:space="preserve"> ومستثمرين إماراتيين بنسبة </w:t>
      </w:r>
      <w:r w:rsidRPr="00427631">
        <w:rPr>
          <w:sz w:val="28"/>
          <w:szCs w:val="28"/>
          <w:lang w:bidi="ar-LB"/>
        </w:rPr>
        <w:t xml:space="preserve">50% </w:t>
      </w:r>
      <w:r w:rsidRPr="00427631">
        <w:rPr>
          <w:sz w:val="28"/>
          <w:szCs w:val="28"/>
          <w:rtl/>
          <w:lang w:bidi="ar-LB"/>
        </w:rPr>
        <w:t xml:space="preserve"> ومستثمرين أميركيين بنسبة </w:t>
      </w:r>
      <w:r w:rsidRPr="00427631">
        <w:rPr>
          <w:sz w:val="28"/>
          <w:szCs w:val="28"/>
          <w:lang w:bidi="ar-LB"/>
        </w:rPr>
        <w:t>20%</w:t>
      </w:r>
      <w:r w:rsidRPr="00427631">
        <w:rPr>
          <w:sz w:val="28"/>
          <w:szCs w:val="28"/>
          <w:rtl/>
          <w:lang w:bidi="ar-LB"/>
        </w:rPr>
        <w:t>.</w:t>
      </w:r>
    </w:p>
    <w:p w:rsidR="00835FFE" w:rsidRPr="00427631" w:rsidRDefault="00835FFE" w:rsidP="00835FFE">
      <w:pPr>
        <w:spacing w:line="276" w:lineRule="auto"/>
        <w:rPr>
          <w:sz w:val="28"/>
          <w:szCs w:val="28"/>
          <w:rtl/>
          <w:lang w:bidi="ar-LB"/>
        </w:rPr>
      </w:pPr>
      <w:proofErr w:type="gramStart"/>
      <w:r w:rsidRPr="00427631">
        <w:rPr>
          <w:sz w:val="28"/>
          <w:szCs w:val="28"/>
          <w:rtl/>
          <w:lang w:bidi="ar-LB"/>
        </w:rPr>
        <w:t>بعد</w:t>
      </w:r>
      <w:proofErr w:type="gramEnd"/>
      <w:r w:rsidRPr="00427631">
        <w:rPr>
          <w:sz w:val="28"/>
          <w:szCs w:val="28"/>
          <w:rtl/>
          <w:lang w:bidi="ar-LB"/>
        </w:rPr>
        <w:t xml:space="preserve"> مرور سنة على تشغيل المعمل، قامت الدولة الإماراتية بسحب رخصة التشغيل من الشركة المذكورة.</w:t>
      </w:r>
    </w:p>
    <w:p w:rsidR="00835FFE" w:rsidRPr="00427631" w:rsidRDefault="00835FFE" w:rsidP="00835FFE">
      <w:pPr>
        <w:spacing w:line="276" w:lineRule="auto"/>
        <w:rPr>
          <w:sz w:val="28"/>
          <w:szCs w:val="28"/>
          <w:rtl/>
          <w:lang w:bidi="ar-LB"/>
        </w:rPr>
      </w:pPr>
      <w:r w:rsidRPr="00427631">
        <w:rPr>
          <w:sz w:val="28"/>
          <w:szCs w:val="28"/>
          <w:rtl/>
          <w:lang w:bidi="ar-LB"/>
        </w:rPr>
        <w:t>هل يحق للمستثمرين المساهمين في الشركة الإماراتية المشغلة مقاضاة دولة الإمارات على أساس الاتفاقيات الثنائية للاستثمار المعقودة منها والتمتع بالحماية الدولية؟ علل جوابك.</w:t>
      </w:r>
    </w:p>
    <w:p w:rsidR="00835FFE" w:rsidRPr="00427631" w:rsidRDefault="00835FFE" w:rsidP="00835FFE">
      <w:pPr>
        <w:spacing w:line="276" w:lineRule="auto"/>
        <w:rPr>
          <w:sz w:val="28"/>
          <w:szCs w:val="28"/>
          <w:rtl/>
          <w:lang w:bidi="ar-LB"/>
        </w:rPr>
      </w:pPr>
    </w:p>
    <w:p w:rsidR="00835FFE" w:rsidRPr="00427631" w:rsidRDefault="00835FFE" w:rsidP="00835FFE">
      <w:pPr>
        <w:spacing w:line="276" w:lineRule="auto"/>
        <w:rPr>
          <w:sz w:val="28"/>
          <w:szCs w:val="28"/>
          <w:lang w:bidi="ar-LB"/>
        </w:rPr>
      </w:pPr>
      <w:r w:rsidRPr="00E66385">
        <w:rPr>
          <w:sz w:val="28"/>
          <w:szCs w:val="28"/>
          <w:u w:val="single"/>
          <w:rtl/>
          <w:lang w:bidi="ar-LB"/>
        </w:rPr>
        <w:t>ملاحظة:</w:t>
      </w:r>
      <w:r w:rsidRPr="00122782">
        <w:rPr>
          <w:sz w:val="28"/>
          <w:szCs w:val="28"/>
          <w:rtl/>
          <w:lang w:bidi="ar-LB"/>
        </w:rPr>
        <w:t xml:space="preserve"> </w:t>
      </w:r>
      <w:r w:rsidRPr="00427631">
        <w:rPr>
          <w:sz w:val="28"/>
          <w:szCs w:val="28"/>
          <w:rtl/>
          <w:lang w:bidi="ar-LB"/>
        </w:rPr>
        <w:t>لا يوجد اتفاقية ثنائية للاستثمار بين الإمارات العربية المتحدة والولايات المتحدة الأميركية.</w:t>
      </w:r>
    </w:p>
    <w:p w:rsidR="00835FFE" w:rsidRDefault="00A25C30" w:rsidP="00835FFE">
      <w:pPr>
        <w:contextualSpacing/>
        <w:rPr>
          <w:sz w:val="28"/>
          <w:szCs w:val="28"/>
          <w:rtl/>
          <w:lang w:bidi="ar-LB"/>
        </w:rPr>
      </w:pPr>
      <w:r>
        <w:rPr>
          <w:rFonts w:hint="cs"/>
          <w:sz w:val="28"/>
          <w:szCs w:val="28"/>
          <w:rtl/>
          <w:lang w:bidi="ar-LB"/>
        </w:rPr>
        <w:t>إ</w:t>
      </w:r>
      <w:r w:rsidRPr="00427631">
        <w:rPr>
          <w:rFonts w:hint="cs"/>
          <w:sz w:val="28"/>
          <w:szCs w:val="28"/>
          <w:rtl/>
          <w:lang w:bidi="ar-LB"/>
        </w:rPr>
        <w:t>ن</w:t>
      </w:r>
      <w:r w:rsidR="00835FFE" w:rsidRPr="00427631">
        <w:rPr>
          <w:sz w:val="28"/>
          <w:szCs w:val="28"/>
          <w:rtl/>
          <w:lang w:bidi="ar-LB"/>
        </w:rPr>
        <w:t xml:space="preserve"> المادة التي يجب التوقف عندها من الاتفاقية الثنائية المعقودة بين الإمارات وكوريا هي المادة 1 ونصها</w:t>
      </w:r>
      <w:r w:rsidR="00835FFE">
        <w:rPr>
          <w:rFonts w:hint="cs"/>
          <w:sz w:val="28"/>
          <w:szCs w:val="28"/>
          <w:rtl/>
          <w:lang w:bidi="ar-LB"/>
        </w:rPr>
        <w:t xml:space="preserve"> </w:t>
      </w:r>
      <w:r w:rsidR="00835FFE" w:rsidRPr="00427631">
        <w:rPr>
          <w:sz w:val="28"/>
          <w:szCs w:val="28"/>
          <w:rtl/>
          <w:lang w:bidi="ar-LB"/>
        </w:rPr>
        <w:t>هو التالي:</w:t>
      </w:r>
    </w:p>
    <w:p w:rsidR="00835FFE" w:rsidRDefault="00835FFE" w:rsidP="00835FFE">
      <w:pPr>
        <w:contextualSpacing/>
        <w:rPr>
          <w:sz w:val="28"/>
          <w:szCs w:val="28"/>
          <w:rtl/>
          <w:lang w:bidi="ar-LB"/>
        </w:rPr>
      </w:pPr>
    </w:p>
    <w:p w:rsidR="00835FFE" w:rsidRPr="003F155D" w:rsidRDefault="00835FFE" w:rsidP="00835FFE">
      <w:pPr>
        <w:contextualSpacing/>
        <w:rPr>
          <w:i/>
          <w:iCs/>
          <w:sz w:val="28"/>
          <w:szCs w:val="28"/>
          <w:u w:val="single"/>
          <w:rtl/>
          <w:lang w:bidi="ar-LB"/>
        </w:rPr>
      </w:pPr>
      <w:r w:rsidRPr="003F155D">
        <w:rPr>
          <w:sz w:val="28"/>
          <w:szCs w:val="28"/>
          <w:u w:val="single"/>
          <w:rtl/>
          <w:lang w:bidi="ar-LB"/>
        </w:rPr>
        <w:t xml:space="preserve"> </w:t>
      </w:r>
      <w:proofErr w:type="gramStart"/>
      <w:r w:rsidRPr="003F155D">
        <w:rPr>
          <w:sz w:val="28"/>
          <w:szCs w:val="28"/>
          <w:u w:val="single"/>
          <w:rtl/>
          <w:lang w:bidi="ar-LB"/>
        </w:rPr>
        <w:t>مادة</w:t>
      </w:r>
      <w:proofErr w:type="gramEnd"/>
      <w:r w:rsidRPr="003F155D">
        <w:rPr>
          <w:sz w:val="28"/>
          <w:szCs w:val="28"/>
          <w:u w:val="single"/>
          <w:rtl/>
          <w:lang w:bidi="ar-LB"/>
        </w:rPr>
        <w:t xml:space="preserve"> 1:</w:t>
      </w:r>
    </w:p>
    <w:p w:rsidR="00835FFE" w:rsidRPr="003F155D" w:rsidRDefault="00835FFE" w:rsidP="00835FFE">
      <w:pPr>
        <w:contextualSpacing/>
        <w:rPr>
          <w:i/>
          <w:iCs/>
          <w:sz w:val="28"/>
          <w:szCs w:val="28"/>
          <w:u w:val="single"/>
          <w:rtl/>
          <w:lang w:bidi="ar-LB"/>
        </w:rPr>
      </w:pPr>
    </w:p>
    <w:p w:rsidR="00835FFE" w:rsidRPr="003F155D" w:rsidRDefault="00835FFE" w:rsidP="00835FFE">
      <w:pPr>
        <w:contextualSpacing/>
        <w:rPr>
          <w:i/>
          <w:iCs/>
          <w:sz w:val="28"/>
          <w:szCs w:val="28"/>
          <w:u w:val="single"/>
          <w:rtl/>
          <w:lang w:bidi="ar-LB"/>
        </w:rPr>
      </w:pPr>
      <w:r w:rsidRPr="003F155D">
        <w:rPr>
          <w:i/>
          <w:iCs/>
          <w:sz w:val="28"/>
          <w:szCs w:val="28"/>
          <w:u w:val="single"/>
          <w:rtl/>
          <w:lang w:bidi="ar-LB"/>
        </w:rPr>
        <w:t xml:space="preserve"> </w:t>
      </w:r>
      <w:proofErr w:type="spellStart"/>
      <w:r w:rsidRPr="003F155D">
        <w:rPr>
          <w:i/>
          <w:iCs/>
          <w:sz w:val="28"/>
          <w:szCs w:val="28"/>
          <w:u w:val="single"/>
          <w:rtl/>
          <w:lang w:bidi="ar-LB"/>
        </w:rPr>
        <w:t>تعـاريف</w:t>
      </w:r>
      <w:proofErr w:type="spellEnd"/>
      <w:r w:rsidRPr="003F155D">
        <w:rPr>
          <w:i/>
          <w:iCs/>
          <w:sz w:val="28"/>
          <w:szCs w:val="28"/>
          <w:u w:val="single"/>
          <w:rtl/>
          <w:lang w:bidi="ar-LB"/>
        </w:rPr>
        <w:t xml:space="preserve"> لأغراض هذه الاتفاقية</w:t>
      </w:r>
    </w:p>
    <w:p w:rsidR="00835FFE" w:rsidRPr="003F155D" w:rsidRDefault="00835FFE" w:rsidP="00835FFE">
      <w:pPr>
        <w:contextualSpacing/>
        <w:rPr>
          <w:i/>
          <w:iCs/>
          <w:sz w:val="28"/>
          <w:szCs w:val="28"/>
          <w:u w:val="single"/>
          <w:rtl/>
          <w:lang w:bidi="ar-LB"/>
        </w:rPr>
      </w:pPr>
    </w:p>
    <w:p w:rsidR="00835FFE" w:rsidRPr="00427631" w:rsidRDefault="00835FFE" w:rsidP="00835FFE">
      <w:pPr>
        <w:numPr>
          <w:ilvl w:val="0"/>
          <w:numId w:val="1"/>
        </w:numPr>
        <w:spacing w:after="200" w:line="276" w:lineRule="auto"/>
        <w:contextualSpacing/>
        <w:rPr>
          <w:i/>
          <w:iCs/>
          <w:sz w:val="28"/>
          <w:szCs w:val="28"/>
          <w:rtl/>
          <w:lang w:bidi="ar-LB"/>
        </w:rPr>
      </w:pPr>
      <w:r w:rsidRPr="00427631">
        <w:rPr>
          <w:sz w:val="28"/>
          <w:szCs w:val="28"/>
          <w:rtl/>
          <w:lang w:bidi="ar-LB"/>
        </w:rPr>
        <w:t>"</w:t>
      </w:r>
      <w:proofErr w:type="gramStart"/>
      <w:r w:rsidRPr="00427631">
        <w:rPr>
          <w:i/>
          <w:iCs/>
          <w:sz w:val="28"/>
          <w:szCs w:val="28"/>
          <w:rtl/>
          <w:lang w:bidi="ar-LB"/>
        </w:rPr>
        <w:t>يعني</w:t>
      </w:r>
      <w:proofErr w:type="gramEnd"/>
      <w:r w:rsidRPr="00427631">
        <w:rPr>
          <w:i/>
          <w:iCs/>
          <w:sz w:val="28"/>
          <w:szCs w:val="28"/>
          <w:rtl/>
          <w:lang w:bidi="ar-LB"/>
        </w:rPr>
        <w:t xml:space="preserve"> مصطلح "استثمار" كافة أنواع الأصول المستثمرة في أي شكل من قبل مستثمري أحد الطرفين المتعاقدين في إقليم الطرف المتعاقد الآخر وفقاً لقوانين وتشريعات الطرف المتعاقد ال</w:t>
      </w:r>
      <w:r>
        <w:rPr>
          <w:rFonts w:hint="cs"/>
          <w:i/>
          <w:iCs/>
          <w:sz w:val="28"/>
          <w:szCs w:val="28"/>
          <w:rtl/>
          <w:lang w:bidi="ar-LB"/>
        </w:rPr>
        <w:t>أ</w:t>
      </w:r>
      <w:r w:rsidRPr="00427631">
        <w:rPr>
          <w:i/>
          <w:iCs/>
          <w:sz w:val="28"/>
          <w:szCs w:val="28"/>
          <w:rtl/>
          <w:lang w:bidi="ar-LB"/>
        </w:rPr>
        <w:t>خير ويشمل مصطلح "استثمار" على وجه الخصوص لا الحصر.</w:t>
      </w:r>
    </w:p>
    <w:p w:rsidR="00835FFE" w:rsidRPr="00427631" w:rsidRDefault="00835FFE" w:rsidP="00835FFE">
      <w:pPr>
        <w:numPr>
          <w:ilvl w:val="2"/>
          <w:numId w:val="1"/>
        </w:numPr>
        <w:tabs>
          <w:tab w:val="clear" w:pos="2160"/>
          <w:tab w:val="num" w:pos="533"/>
        </w:tabs>
        <w:spacing w:after="200" w:line="276" w:lineRule="auto"/>
        <w:ind w:left="533" w:hanging="540"/>
        <w:contextualSpacing/>
        <w:rPr>
          <w:i/>
          <w:iCs/>
          <w:sz w:val="28"/>
          <w:szCs w:val="28"/>
          <w:lang w:bidi="ar-LB"/>
        </w:rPr>
      </w:pPr>
      <w:r w:rsidRPr="00427631">
        <w:rPr>
          <w:i/>
          <w:iCs/>
          <w:sz w:val="28"/>
          <w:szCs w:val="28"/>
          <w:rtl/>
          <w:lang w:bidi="ar-LB"/>
        </w:rPr>
        <w:t xml:space="preserve">الممتلكات المنقولة وغير المنقولة وكذلك أي حقوق ملكية أخرى </w:t>
      </w:r>
      <w:proofErr w:type="spellStart"/>
      <w:r w:rsidRPr="00427631">
        <w:rPr>
          <w:i/>
          <w:iCs/>
          <w:sz w:val="28"/>
          <w:szCs w:val="28"/>
          <w:rtl/>
          <w:lang w:bidi="ar-LB"/>
        </w:rPr>
        <w:t>كالرهونات</w:t>
      </w:r>
      <w:proofErr w:type="spellEnd"/>
      <w:r w:rsidRPr="00427631">
        <w:rPr>
          <w:i/>
          <w:iCs/>
          <w:sz w:val="28"/>
          <w:szCs w:val="28"/>
          <w:rtl/>
          <w:lang w:bidi="ar-LB"/>
        </w:rPr>
        <w:t xml:space="preserve"> وامتيازات الدين وضمانات الدين.</w:t>
      </w:r>
    </w:p>
    <w:p w:rsidR="00835FFE" w:rsidRPr="00427631" w:rsidRDefault="00835FFE" w:rsidP="00835FFE">
      <w:pPr>
        <w:ind w:left="-7"/>
        <w:contextualSpacing/>
        <w:rPr>
          <w:i/>
          <w:iCs/>
          <w:sz w:val="28"/>
          <w:szCs w:val="28"/>
          <w:lang w:bidi="ar-LB"/>
        </w:rPr>
      </w:pPr>
    </w:p>
    <w:p w:rsidR="00835FFE" w:rsidRPr="00427631" w:rsidRDefault="00835FFE" w:rsidP="00835FFE">
      <w:pPr>
        <w:numPr>
          <w:ilvl w:val="2"/>
          <w:numId w:val="1"/>
        </w:numPr>
        <w:tabs>
          <w:tab w:val="clear" w:pos="2160"/>
          <w:tab w:val="num" w:pos="533"/>
        </w:tabs>
        <w:spacing w:after="200" w:line="276" w:lineRule="auto"/>
        <w:ind w:left="533" w:hanging="540"/>
        <w:contextualSpacing/>
        <w:rPr>
          <w:i/>
          <w:iCs/>
          <w:sz w:val="28"/>
          <w:szCs w:val="28"/>
          <w:lang w:bidi="ar-LB"/>
        </w:rPr>
      </w:pPr>
      <w:proofErr w:type="gramStart"/>
      <w:r w:rsidRPr="00427631">
        <w:rPr>
          <w:i/>
          <w:iCs/>
          <w:sz w:val="28"/>
          <w:szCs w:val="28"/>
          <w:rtl/>
          <w:lang w:bidi="ar-LB"/>
        </w:rPr>
        <w:t>الحصص</w:t>
      </w:r>
      <w:proofErr w:type="gramEnd"/>
      <w:r w:rsidRPr="00427631">
        <w:rPr>
          <w:i/>
          <w:iCs/>
          <w:sz w:val="28"/>
          <w:szCs w:val="28"/>
          <w:rtl/>
          <w:lang w:bidi="ar-LB"/>
        </w:rPr>
        <w:t xml:space="preserve"> والأسهم والسندات </w:t>
      </w:r>
      <w:r w:rsidRPr="00427631">
        <w:rPr>
          <w:rFonts w:hint="cs"/>
          <w:i/>
          <w:iCs/>
          <w:sz w:val="28"/>
          <w:szCs w:val="28"/>
          <w:rtl/>
          <w:lang w:bidi="ar-LB"/>
        </w:rPr>
        <w:t>وال</w:t>
      </w:r>
      <w:r>
        <w:rPr>
          <w:rFonts w:hint="cs"/>
          <w:i/>
          <w:iCs/>
          <w:sz w:val="28"/>
          <w:szCs w:val="28"/>
          <w:rtl/>
          <w:lang w:bidi="ar-LB"/>
        </w:rPr>
        <w:t>أ</w:t>
      </w:r>
      <w:r w:rsidRPr="00427631">
        <w:rPr>
          <w:rFonts w:hint="cs"/>
          <w:i/>
          <w:iCs/>
          <w:sz w:val="28"/>
          <w:szCs w:val="28"/>
          <w:rtl/>
          <w:lang w:bidi="ar-LB"/>
        </w:rPr>
        <w:t>صول</w:t>
      </w:r>
      <w:r w:rsidRPr="00427631">
        <w:rPr>
          <w:i/>
          <w:iCs/>
          <w:sz w:val="28"/>
          <w:szCs w:val="28"/>
          <w:rtl/>
          <w:lang w:bidi="ar-LB"/>
        </w:rPr>
        <w:t xml:space="preserve"> السائلة وأي شكل من أشكال المشاركة في شركة أو في أي مؤسسة تجارية بما في ذلك تلك المؤسسات التي يتم تشغيلها في النشاطات المتعلقة بالبترول مثل تخزين وتصنيع وتسويق المواد الكيمائية البترولية.</w:t>
      </w:r>
    </w:p>
    <w:p w:rsidR="00835FFE" w:rsidRPr="00427631" w:rsidRDefault="00835FFE" w:rsidP="00835FFE">
      <w:pPr>
        <w:contextualSpacing/>
        <w:rPr>
          <w:i/>
          <w:iCs/>
          <w:sz w:val="28"/>
          <w:szCs w:val="28"/>
          <w:rtl/>
          <w:lang w:bidi="ar-LB"/>
        </w:rPr>
      </w:pPr>
    </w:p>
    <w:p w:rsidR="00835FFE" w:rsidRPr="00427631" w:rsidRDefault="00835FFE" w:rsidP="00835FFE">
      <w:pPr>
        <w:numPr>
          <w:ilvl w:val="2"/>
          <w:numId w:val="1"/>
        </w:numPr>
        <w:tabs>
          <w:tab w:val="clear" w:pos="2160"/>
          <w:tab w:val="num" w:pos="533"/>
        </w:tabs>
        <w:spacing w:after="200" w:line="276" w:lineRule="auto"/>
        <w:ind w:left="533" w:hanging="540"/>
        <w:contextualSpacing/>
        <w:rPr>
          <w:i/>
          <w:iCs/>
          <w:sz w:val="28"/>
          <w:szCs w:val="28"/>
          <w:lang w:bidi="ar-LB"/>
        </w:rPr>
      </w:pPr>
      <w:r w:rsidRPr="00427631">
        <w:rPr>
          <w:i/>
          <w:iCs/>
          <w:sz w:val="28"/>
          <w:szCs w:val="28"/>
          <w:rtl/>
          <w:lang w:bidi="ar-LB"/>
        </w:rPr>
        <w:t>المطالب</w:t>
      </w:r>
      <w:r>
        <w:rPr>
          <w:rFonts w:hint="cs"/>
          <w:i/>
          <w:iCs/>
          <w:sz w:val="28"/>
          <w:szCs w:val="28"/>
          <w:rtl/>
          <w:lang w:bidi="ar-LB"/>
        </w:rPr>
        <w:t>ات</w:t>
      </w:r>
      <w:r w:rsidRPr="00427631">
        <w:rPr>
          <w:i/>
          <w:iCs/>
          <w:sz w:val="28"/>
          <w:szCs w:val="28"/>
          <w:rtl/>
          <w:lang w:bidi="ar-LB"/>
        </w:rPr>
        <w:t xml:space="preserve"> بأموال ترتبط باستثمار أو بأي </w:t>
      </w:r>
      <w:proofErr w:type="gramStart"/>
      <w:r w:rsidRPr="00427631">
        <w:rPr>
          <w:i/>
          <w:iCs/>
          <w:sz w:val="28"/>
          <w:szCs w:val="28"/>
          <w:rtl/>
          <w:lang w:bidi="ar-LB"/>
        </w:rPr>
        <w:t>أداء</w:t>
      </w:r>
      <w:proofErr w:type="gramEnd"/>
      <w:r w:rsidRPr="00427631">
        <w:rPr>
          <w:i/>
          <w:iCs/>
          <w:sz w:val="28"/>
          <w:szCs w:val="28"/>
          <w:rtl/>
          <w:lang w:bidi="ar-LB"/>
        </w:rPr>
        <w:t xml:space="preserve"> بموجب عقد يرتبط بمشاريع.</w:t>
      </w:r>
    </w:p>
    <w:p w:rsidR="00835FFE" w:rsidRPr="00427631" w:rsidRDefault="00835FFE" w:rsidP="00835FFE">
      <w:pPr>
        <w:contextualSpacing/>
        <w:rPr>
          <w:i/>
          <w:iCs/>
          <w:sz w:val="28"/>
          <w:szCs w:val="28"/>
          <w:rtl/>
          <w:lang w:bidi="ar-LB"/>
        </w:rPr>
      </w:pPr>
    </w:p>
    <w:p w:rsidR="00835FFE" w:rsidRPr="00427631" w:rsidRDefault="00835FFE" w:rsidP="00835FFE">
      <w:pPr>
        <w:numPr>
          <w:ilvl w:val="2"/>
          <w:numId w:val="1"/>
        </w:numPr>
        <w:tabs>
          <w:tab w:val="clear" w:pos="2160"/>
          <w:tab w:val="num" w:pos="533"/>
        </w:tabs>
        <w:spacing w:after="200" w:line="276" w:lineRule="auto"/>
        <w:ind w:left="533" w:hanging="540"/>
        <w:contextualSpacing/>
        <w:rPr>
          <w:i/>
          <w:iCs/>
          <w:sz w:val="28"/>
          <w:szCs w:val="28"/>
          <w:lang w:bidi="ar-LB"/>
        </w:rPr>
      </w:pPr>
      <w:r w:rsidRPr="00427631">
        <w:rPr>
          <w:i/>
          <w:iCs/>
          <w:sz w:val="28"/>
          <w:szCs w:val="28"/>
          <w:rtl/>
          <w:lang w:bidi="ar-LB"/>
        </w:rPr>
        <w:t xml:space="preserve">امتيازات العمل التجاري ذات القيمة الاقتصادية والتي تمنح بواسطة القانون </w:t>
      </w:r>
      <w:r w:rsidRPr="00427631">
        <w:rPr>
          <w:rFonts w:hint="cs"/>
          <w:i/>
          <w:iCs/>
          <w:sz w:val="28"/>
          <w:szCs w:val="28"/>
          <w:rtl/>
          <w:lang w:bidi="ar-LB"/>
        </w:rPr>
        <w:t>أو</w:t>
      </w:r>
      <w:r w:rsidRPr="00427631">
        <w:rPr>
          <w:i/>
          <w:iCs/>
          <w:sz w:val="28"/>
          <w:szCs w:val="28"/>
          <w:rtl/>
          <w:lang w:bidi="ar-LB"/>
        </w:rPr>
        <w:t xml:space="preserve"> بموجب عقد، بما في ذلك امتيازات البحث لاستخراج واستغلال الموارد الطبيعية.</w:t>
      </w:r>
    </w:p>
    <w:p w:rsidR="00835FFE" w:rsidRPr="00427631" w:rsidRDefault="00835FFE" w:rsidP="00835FFE">
      <w:pPr>
        <w:contextualSpacing/>
        <w:rPr>
          <w:i/>
          <w:iCs/>
          <w:sz w:val="28"/>
          <w:szCs w:val="28"/>
          <w:rtl/>
          <w:lang w:bidi="ar-LB"/>
        </w:rPr>
      </w:pPr>
    </w:p>
    <w:p w:rsidR="006835AA" w:rsidRPr="00835FFE" w:rsidRDefault="00835FFE" w:rsidP="00835FFE">
      <w:pPr>
        <w:numPr>
          <w:ilvl w:val="2"/>
          <w:numId w:val="1"/>
        </w:numPr>
        <w:tabs>
          <w:tab w:val="clear" w:pos="2160"/>
          <w:tab w:val="num" w:pos="533"/>
        </w:tabs>
        <w:spacing w:after="200" w:line="276" w:lineRule="auto"/>
        <w:ind w:left="533" w:hanging="540"/>
        <w:contextualSpacing/>
      </w:pPr>
      <w:r w:rsidRPr="00835FFE">
        <w:rPr>
          <w:i/>
          <w:iCs/>
          <w:sz w:val="28"/>
          <w:szCs w:val="28"/>
          <w:rtl/>
          <w:lang w:bidi="ar-LB"/>
        </w:rPr>
        <w:t>حقوق الملكية الفكرية بما في ذلك حقوق الطبع وبراءات الاختراع والعلاقات التجارية، والاسم التجاري والتصاميم الصناعية والعمليات الفنية والخبرة والأسرار التجارية والسمعة الحسنة</w:t>
      </w:r>
      <w:r w:rsidRPr="00835FFE">
        <w:rPr>
          <w:sz w:val="28"/>
          <w:szCs w:val="28"/>
          <w:rtl/>
          <w:lang w:bidi="ar-LB"/>
        </w:rPr>
        <w:t>".</w:t>
      </w:r>
    </w:p>
    <w:sectPr w:rsidR="006835AA" w:rsidRPr="00835FFE" w:rsidSect="006835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91314"/>
    <w:multiLevelType w:val="hybridMultilevel"/>
    <w:tmpl w:val="6A082050"/>
    <w:lvl w:ilvl="0" w:tplc="04090011">
      <w:start w:val="1"/>
      <w:numFmt w:val="decimal"/>
      <w:lvlText w:val="%1)"/>
      <w:lvlJc w:val="left"/>
      <w:pPr>
        <w:tabs>
          <w:tab w:val="num" w:pos="405"/>
        </w:tabs>
        <w:ind w:left="405" w:hanging="405"/>
      </w:pPr>
      <w:rPr>
        <w:rFonts w:hint="default"/>
        <w:b/>
      </w:rPr>
    </w:lvl>
    <w:lvl w:ilvl="1" w:tplc="748C8EC0">
      <w:start w:val="1"/>
      <w:numFmt w:val="decimal"/>
      <w:lvlText w:val="(%2)"/>
      <w:lvlJc w:val="left"/>
      <w:pPr>
        <w:tabs>
          <w:tab w:val="num" w:pos="360"/>
        </w:tabs>
        <w:ind w:left="360" w:hanging="360"/>
      </w:pPr>
      <w:rPr>
        <w:rFonts w:hint="default"/>
      </w:rPr>
    </w:lvl>
    <w:lvl w:ilvl="2" w:tplc="0BCCF7A4">
      <w:start w:val="1"/>
      <w:numFmt w:val="arabicAlpha"/>
      <w:lvlText w:val="(%3)"/>
      <w:lvlJc w:val="left"/>
      <w:pPr>
        <w:tabs>
          <w:tab w:val="num" w:pos="2160"/>
        </w:tabs>
        <w:ind w:left="2160" w:hanging="180"/>
      </w:pPr>
      <w:rPr>
        <w:rFonts w:hint="default"/>
      </w:rPr>
    </w:lvl>
    <w:lvl w:ilvl="3" w:tplc="0E786A6A">
      <w:start w:val="1"/>
      <w:numFmt w:val="none"/>
      <w:lvlText w:val="(3)"/>
      <w:lvlJc w:val="right"/>
      <w:pPr>
        <w:tabs>
          <w:tab w:val="num" w:pos="360"/>
        </w:tabs>
        <w:ind w:left="36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5FFE"/>
    <w:rsid w:val="006835AA"/>
    <w:rsid w:val="00835FFE"/>
    <w:rsid w:val="00A25C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FE"/>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rana.kahwaji</dc:creator>
  <cp:keywords/>
  <dc:description/>
  <cp:lastModifiedBy>rana.kahwaji</cp:lastModifiedBy>
  <cp:revision>3</cp:revision>
  <dcterms:created xsi:type="dcterms:W3CDTF">2013-02-14T20:12:00Z</dcterms:created>
  <dcterms:modified xsi:type="dcterms:W3CDTF">2013-02-14T20:12:00Z</dcterms:modified>
</cp:coreProperties>
</file>